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DEF" w:rsidRPr="001D5F84" w:rsidRDefault="00507DEF" w:rsidP="00507DEF">
      <w:pPr>
        <w:pStyle w:val="Default"/>
        <w:rPr>
          <w:sz w:val="20"/>
          <w:szCs w:val="20"/>
        </w:rPr>
      </w:pPr>
    </w:p>
    <w:p w:rsidR="00507DEF" w:rsidRPr="001D5F84" w:rsidRDefault="00507DEF" w:rsidP="00682E5E">
      <w:pPr>
        <w:spacing w:line="240" w:lineRule="auto"/>
        <w:jc w:val="center"/>
        <w:rPr>
          <w:rFonts w:ascii="Arial" w:hAnsi="Arial" w:cs="Arial"/>
          <w:b/>
          <w:bCs/>
          <w:sz w:val="20"/>
          <w:szCs w:val="20"/>
        </w:rPr>
      </w:pPr>
      <w:r w:rsidRPr="001D5F84">
        <w:rPr>
          <w:rFonts w:ascii="Arial" w:hAnsi="Arial" w:cs="Arial"/>
          <w:b/>
          <w:bCs/>
          <w:sz w:val="20"/>
          <w:szCs w:val="20"/>
        </w:rPr>
        <w:t xml:space="preserve">TÜRKER VANGÖLÜ ENERJİ </w:t>
      </w:r>
      <w:r w:rsidR="00F109B6" w:rsidRPr="001D5F84">
        <w:rPr>
          <w:rFonts w:ascii="Arial" w:hAnsi="Arial" w:cs="Arial"/>
          <w:b/>
          <w:bCs/>
          <w:sz w:val="20"/>
          <w:szCs w:val="20"/>
        </w:rPr>
        <w:t>YATIRIM ANONİM</w:t>
      </w:r>
      <w:r w:rsidRPr="001D5F84">
        <w:rPr>
          <w:rFonts w:ascii="Arial" w:hAnsi="Arial" w:cs="Arial"/>
          <w:b/>
          <w:bCs/>
          <w:sz w:val="20"/>
          <w:szCs w:val="20"/>
        </w:rPr>
        <w:t xml:space="preserve"> ŞİRKETİ</w:t>
      </w:r>
    </w:p>
    <w:p w:rsidR="00343F4A" w:rsidRPr="001D5F84" w:rsidRDefault="00507DEF" w:rsidP="00682E5E">
      <w:pPr>
        <w:spacing w:line="240" w:lineRule="auto"/>
        <w:jc w:val="center"/>
        <w:rPr>
          <w:rFonts w:ascii="Arial" w:hAnsi="Arial" w:cs="Arial"/>
          <w:b/>
          <w:bCs/>
          <w:sz w:val="20"/>
          <w:szCs w:val="20"/>
        </w:rPr>
      </w:pPr>
      <w:r w:rsidRPr="001D5F84">
        <w:rPr>
          <w:rFonts w:ascii="Arial" w:hAnsi="Arial" w:cs="Arial"/>
          <w:b/>
          <w:bCs/>
          <w:sz w:val="20"/>
          <w:szCs w:val="20"/>
        </w:rPr>
        <w:t>ESAS SÖZLEŞME</w:t>
      </w:r>
    </w:p>
    <w:p w:rsidR="00507DEF" w:rsidRDefault="00507DEF" w:rsidP="00682E5E">
      <w:pPr>
        <w:spacing w:line="240" w:lineRule="auto"/>
        <w:jc w:val="center"/>
        <w:rPr>
          <w:rFonts w:ascii="Arial" w:hAnsi="Arial" w:cs="Arial"/>
          <w:b/>
          <w:bCs/>
          <w:sz w:val="20"/>
          <w:szCs w:val="20"/>
        </w:rPr>
      </w:pPr>
    </w:p>
    <w:p w:rsidR="006F1D50" w:rsidRPr="001D5F84" w:rsidRDefault="006F1D50" w:rsidP="00682E5E">
      <w:pPr>
        <w:spacing w:line="240" w:lineRule="auto"/>
        <w:rPr>
          <w:rFonts w:ascii="Arial" w:hAnsi="Arial" w:cs="Arial"/>
          <w:sz w:val="20"/>
          <w:szCs w:val="20"/>
        </w:rPr>
      </w:pPr>
      <w:r w:rsidRPr="001D5F84">
        <w:rPr>
          <w:rFonts w:ascii="Arial" w:hAnsi="Arial" w:cs="Arial"/>
          <w:b/>
          <w:bCs/>
          <w:sz w:val="20"/>
          <w:szCs w:val="20"/>
        </w:rPr>
        <w:t>Madde 1:</w:t>
      </w:r>
    </w:p>
    <w:p w:rsidR="00507DEF" w:rsidRPr="001D5F84" w:rsidRDefault="00507DEF" w:rsidP="00682E5E">
      <w:pPr>
        <w:spacing w:line="240" w:lineRule="auto"/>
        <w:rPr>
          <w:rFonts w:ascii="Arial" w:hAnsi="Arial" w:cs="Arial"/>
          <w:b/>
          <w:bCs/>
          <w:sz w:val="20"/>
          <w:szCs w:val="20"/>
        </w:rPr>
      </w:pPr>
      <w:r w:rsidRPr="001D5F84">
        <w:rPr>
          <w:rFonts w:ascii="Arial" w:hAnsi="Arial" w:cs="Arial"/>
          <w:b/>
          <w:bCs/>
          <w:sz w:val="20"/>
          <w:szCs w:val="20"/>
        </w:rPr>
        <w:t>KURULUŞ</w:t>
      </w:r>
    </w:p>
    <w:p w:rsidR="00507DEF" w:rsidRPr="001D5F84" w:rsidRDefault="00507DEF" w:rsidP="00682E5E">
      <w:pPr>
        <w:spacing w:line="240" w:lineRule="auto"/>
        <w:rPr>
          <w:rFonts w:ascii="Arial" w:hAnsi="Arial" w:cs="Arial"/>
          <w:spacing w:val="-2"/>
          <w:sz w:val="20"/>
          <w:szCs w:val="20"/>
        </w:rPr>
      </w:pPr>
      <w:r w:rsidRPr="001D5F84">
        <w:rPr>
          <w:rFonts w:ascii="Arial" w:hAnsi="Arial" w:cs="Arial"/>
          <w:spacing w:val="-2"/>
          <w:sz w:val="20"/>
          <w:szCs w:val="20"/>
        </w:rPr>
        <w:t>Aşağıdaki adı, soyadı, unvanı, yerleşim yeri ve uyruğu yazılı kurucu tarafından bir Anonim Şirket kurulmuş bulunmaktadır</w:t>
      </w:r>
      <w:r w:rsidRPr="001D5F84">
        <w:rPr>
          <w:rFonts w:ascii="Arial" w:hAnsi="Arial" w:cs="Arial"/>
          <w:spacing w:val="-2"/>
          <w:sz w:val="20"/>
          <w:szCs w:val="20"/>
        </w:rPr>
        <w:t>.</w:t>
      </w:r>
    </w:p>
    <w:tbl>
      <w:tblPr>
        <w:tblStyle w:val="TabloKlavuzu"/>
        <w:tblW w:w="0" w:type="auto"/>
        <w:tblLook w:val="04A0" w:firstRow="1" w:lastRow="0" w:firstColumn="1" w:lastColumn="0" w:noHBand="0" w:noVBand="1"/>
      </w:tblPr>
      <w:tblGrid>
        <w:gridCol w:w="575"/>
        <w:gridCol w:w="3200"/>
        <w:gridCol w:w="2889"/>
        <w:gridCol w:w="740"/>
        <w:gridCol w:w="1983"/>
      </w:tblGrid>
      <w:tr w:rsidR="00507DEF" w:rsidRPr="001D5F84" w:rsidTr="003B0955">
        <w:tc>
          <w:tcPr>
            <w:tcW w:w="421" w:type="dxa"/>
          </w:tcPr>
          <w:p w:rsidR="00507DEF" w:rsidRPr="001D5F84" w:rsidRDefault="00507DEF" w:rsidP="00682E5E">
            <w:pPr>
              <w:rPr>
                <w:rFonts w:ascii="Arial" w:hAnsi="Arial" w:cs="Arial"/>
                <w:spacing w:val="-2"/>
                <w:sz w:val="20"/>
                <w:szCs w:val="20"/>
              </w:rPr>
            </w:pPr>
            <w:r w:rsidRPr="001D5F84">
              <w:rPr>
                <w:rFonts w:ascii="Arial" w:hAnsi="Arial" w:cs="Arial"/>
                <w:spacing w:val="-2"/>
                <w:sz w:val="20"/>
                <w:szCs w:val="20"/>
              </w:rPr>
              <w:t>Sıra No</w:t>
            </w:r>
          </w:p>
        </w:tc>
        <w:tc>
          <w:tcPr>
            <w:tcW w:w="3200" w:type="dxa"/>
          </w:tcPr>
          <w:p w:rsidR="00507DEF" w:rsidRPr="001D5F84" w:rsidRDefault="00507DEF" w:rsidP="00682E5E">
            <w:pPr>
              <w:rPr>
                <w:rFonts w:ascii="Arial" w:hAnsi="Arial" w:cs="Arial"/>
                <w:spacing w:val="-2"/>
                <w:sz w:val="20"/>
                <w:szCs w:val="20"/>
              </w:rPr>
            </w:pPr>
          </w:p>
          <w:p w:rsidR="00507DEF" w:rsidRPr="001D5F84" w:rsidRDefault="00507DEF" w:rsidP="00682E5E">
            <w:pPr>
              <w:rPr>
                <w:rFonts w:ascii="Arial" w:hAnsi="Arial" w:cs="Arial"/>
                <w:spacing w:val="-2"/>
                <w:sz w:val="20"/>
                <w:szCs w:val="20"/>
              </w:rPr>
            </w:pPr>
            <w:r w:rsidRPr="001D5F84">
              <w:rPr>
                <w:rFonts w:ascii="Arial" w:hAnsi="Arial" w:cs="Arial"/>
                <w:spacing w:val="-2"/>
                <w:sz w:val="20"/>
                <w:szCs w:val="20"/>
              </w:rPr>
              <w:t>Kurucu</w:t>
            </w:r>
          </w:p>
        </w:tc>
        <w:tc>
          <w:tcPr>
            <w:tcW w:w="2889" w:type="dxa"/>
          </w:tcPr>
          <w:p w:rsidR="00507DEF" w:rsidRPr="001D5F84" w:rsidRDefault="00507DEF" w:rsidP="00682E5E">
            <w:pPr>
              <w:rPr>
                <w:rFonts w:ascii="Arial" w:hAnsi="Arial" w:cs="Arial"/>
                <w:spacing w:val="-2"/>
                <w:sz w:val="20"/>
                <w:szCs w:val="20"/>
              </w:rPr>
            </w:pPr>
          </w:p>
          <w:p w:rsidR="00507DEF" w:rsidRPr="001D5F84" w:rsidRDefault="00507DEF" w:rsidP="00682E5E">
            <w:pPr>
              <w:rPr>
                <w:rFonts w:ascii="Arial" w:hAnsi="Arial" w:cs="Arial"/>
                <w:spacing w:val="-2"/>
                <w:sz w:val="20"/>
                <w:szCs w:val="20"/>
              </w:rPr>
            </w:pPr>
            <w:r w:rsidRPr="001D5F84">
              <w:rPr>
                <w:rFonts w:ascii="Arial" w:hAnsi="Arial" w:cs="Arial"/>
                <w:spacing w:val="-2"/>
                <w:sz w:val="20"/>
                <w:szCs w:val="20"/>
              </w:rPr>
              <w:t>Adres</w:t>
            </w:r>
          </w:p>
        </w:tc>
        <w:tc>
          <w:tcPr>
            <w:tcW w:w="740" w:type="dxa"/>
          </w:tcPr>
          <w:p w:rsidR="00507DEF" w:rsidRPr="001D5F84" w:rsidRDefault="00507DEF" w:rsidP="00682E5E">
            <w:pPr>
              <w:rPr>
                <w:rFonts w:ascii="Arial" w:hAnsi="Arial" w:cs="Arial"/>
                <w:spacing w:val="-2"/>
                <w:sz w:val="20"/>
                <w:szCs w:val="20"/>
              </w:rPr>
            </w:pPr>
          </w:p>
          <w:p w:rsidR="00507DEF" w:rsidRPr="001D5F84" w:rsidRDefault="00507DEF" w:rsidP="00682E5E">
            <w:pPr>
              <w:rPr>
                <w:rFonts w:ascii="Arial" w:hAnsi="Arial" w:cs="Arial"/>
                <w:spacing w:val="-2"/>
                <w:sz w:val="20"/>
                <w:szCs w:val="20"/>
              </w:rPr>
            </w:pPr>
            <w:r w:rsidRPr="001D5F84">
              <w:rPr>
                <w:rFonts w:ascii="Arial" w:hAnsi="Arial" w:cs="Arial"/>
                <w:spacing w:val="-2"/>
                <w:sz w:val="20"/>
                <w:szCs w:val="20"/>
              </w:rPr>
              <w:t>Uyruk</w:t>
            </w:r>
          </w:p>
        </w:tc>
        <w:tc>
          <w:tcPr>
            <w:tcW w:w="1812" w:type="dxa"/>
          </w:tcPr>
          <w:p w:rsidR="00507DEF" w:rsidRPr="001D5F84" w:rsidRDefault="00507DEF" w:rsidP="00682E5E">
            <w:pPr>
              <w:rPr>
                <w:rFonts w:ascii="Arial" w:hAnsi="Arial" w:cs="Arial"/>
                <w:spacing w:val="-2"/>
                <w:sz w:val="20"/>
                <w:szCs w:val="20"/>
              </w:rPr>
            </w:pPr>
          </w:p>
          <w:p w:rsidR="00507DEF" w:rsidRPr="001D5F84" w:rsidRDefault="00507DEF" w:rsidP="00682E5E">
            <w:pPr>
              <w:rPr>
                <w:rFonts w:ascii="Arial" w:hAnsi="Arial" w:cs="Arial"/>
                <w:spacing w:val="-2"/>
                <w:sz w:val="20"/>
                <w:szCs w:val="20"/>
              </w:rPr>
            </w:pPr>
            <w:r w:rsidRPr="001D5F84">
              <w:rPr>
                <w:rFonts w:ascii="Arial" w:hAnsi="Arial" w:cs="Arial"/>
                <w:spacing w:val="-2"/>
                <w:sz w:val="20"/>
                <w:szCs w:val="20"/>
              </w:rPr>
              <w:t>Kimlik No/Mersis</w:t>
            </w:r>
          </w:p>
        </w:tc>
      </w:tr>
      <w:tr w:rsidR="00507DEF" w:rsidRPr="001D5F84" w:rsidTr="003B0955">
        <w:tc>
          <w:tcPr>
            <w:tcW w:w="421" w:type="dxa"/>
          </w:tcPr>
          <w:p w:rsidR="00507DEF" w:rsidRPr="001D5F84" w:rsidRDefault="00507DEF" w:rsidP="00682E5E">
            <w:pPr>
              <w:rPr>
                <w:rFonts w:ascii="Arial" w:hAnsi="Arial" w:cs="Arial"/>
                <w:spacing w:val="-2"/>
                <w:sz w:val="20"/>
                <w:szCs w:val="20"/>
              </w:rPr>
            </w:pPr>
            <w:r w:rsidRPr="001D5F84">
              <w:rPr>
                <w:rFonts w:ascii="Arial" w:hAnsi="Arial" w:cs="Arial"/>
                <w:spacing w:val="-2"/>
                <w:sz w:val="20"/>
                <w:szCs w:val="20"/>
              </w:rPr>
              <w:t>1.</w:t>
            </w:r>
          </w:p>
        </w:tc>
        <w:tc>
          <w:tcPr>
            <w:tcW w:w="3200" w:type="dxa"/>
          </w:tcPr>
          <w:p w:rsidR="00507DEF" w:rsidRPr="001D5F84" w:rsidRDefault="00507DEF" w:rsidP="00682E5E">
            <w:pPr>
              <w:rPr>
                <w:rFonts w:ascii="Arial" w:hAnsi="Arial" w:cs="Arial"/>
                <w:spacing w:val="-2"/>
                <w:sz w:val="20"/>
                <w:szCs w:val="20"/>
              </w:rPr>
            </w:pPr>
            <w:r w:rsidRPr="001D5F84">
              <w:rPr>
                <w:rFonts w:ascii="Arial" w:hAnsi="Arial" w:cs="Arial"/>
                <w:spacing w:val="-2"/>
                <w:sz w:val="20"/>
                <w:szCs w:val="20"/>
              </w:rPr>
              <w:t>VANGÖLÜ ENERJİ YATIRIM ANONİM ŞİRKETİ</w:t>
            </w:r>
          </w:p>
        </w:tc>
        <w:tc>
          <w:tcPr>
            <w:tcW w:w="2889" w:type="dxa"/>
          </w:tcPr>
          <w:p w:rsidR="00507DEF" w:rsidRPr="001D5F84" w:rsidRDefault="003B0955" w:rsidP="00682E5E">
            <w:pPr>
              <w:rPr>
                <w:rFonts w:ascii="Arial" w:hAnsi="Arial" w:cs="Arial"/>
                <w:spacing w:val="-2"/>
                <w:sz w:val="20"/>
                <w:szCs w:val="20"/>
              </w:rPr>
            </w:pPr>
            <w:r w:rsidRPr="001D5F84">
              <w:rPr>
                <w:rFonts w:ascii="Arial" w:hAnsi="Arial" w:cs="Arial"/>
                <w:spacing w:val="-2"/>
                <w:sz w:val="20"/>
                <w:szCs w:val="20"/>
              </w:rPr>
              <w:t>Mustafa Kemal Mah Dumlupınar Bulv No:274/7/67 Çankaya /ANKARA</w:t>
            </w:r>
          </w:p>
        </w:tc>
        <w:tc>
          <w:tcPr>
            <w:tcW w:w="740" w:type="dxa"/>
          </w:tcPr>
          <w:p w:rsidR="00507DEF" w:rsidRPr="001D5F84" w:rsidRDefault="00507DEF" w:rsidP="00682E5E">
            <w:pPr>
              <w:jc w:val="center"/>
              <w:rPr>
                <w:rFonts w:ascii="Arial" w:hAnsi="Arial" w:cs="Arial"/>
                <w:spacing w:val="-2"/>
                <w:sz w:val="20"/>
                <w:szCs w:val="20"/>
              </w:rPr>
            </w:pPr>
          </w:p>
          <w:p w:rsidR="003B0955" w:rsidRPr="001D5F84" w:rsidRDefault="003B0955" w:rsidP="00682E5E">
            <w:pPr>
              <w:jc w:val="center"/>
              <w:rPr>
                <w:rFonts w:ascii="Arial" w:hAnsi="Arial" w:cs="Arial"/>
                <w:spacing w:val="-2"/>
                <w:sz w:val="20"/>
                <w:szCs w:val="20"/>
              </w:rPr>
            </w:pPr>
            <w:r w:rsidRPr="001D5F84">
              <w:rPr>
                <w:rFonts w:ascii="Arial" w:hAnsi="Arial" w:cs="Arial"/>
                <w:spacing w:val="-2"/>
                <w:sz w:val="20"/>
                <w:szCs w:val="20"/>
              </w:rPr>
              <w:t>T.C.</w:t>
            </w:r>
          </w:p>
        </w:tc>
        <w:tc>
          <w:tcPr>
            <w:tcW w:w="1812" w:type="dxa"/>
          </w:tcPr>
          <w:p w:rsidR="00507DEF" w:rsidRPr="001D5F84" w:rsidRDefault="00507DEF" w:rsidP="00682E5E">
            <w:pPr>
              <w:jc w:val="center"/>
              <w:rPr>
                <w:rFonts w:ascii="Arial" w:hAnsi="Arial" w:cs="Arial"/>
                <w:spacing w:val="-2"/>
                <w:sz w:val="20"/>
                <w:szCs w:val="20"/>
              </w:rPr>
            </w:pPr>
          </w:p>
          <w:p w:rsidR="003B0955" w:rsidRPr="001D5F84" w:rsidRDefault="003B0955" w:rsidP="00682E5E">
            <w:pPr>
              <w:tabs>
                <w:tab w:val="left" w:pos="10019"/>
              </w:tabs>
              <w:ind w:left="19"/>
              <w:jc w:val="center"/>
              <w:rPr>
                <w:rFonts w:ascii="Arial" w:hAnsi="Arial" w:cs="Arial"/>
                <w:spacing w:val="-2"/>
                <w:sz w:val="20"/>
                <w:szCs w:val="20"/>
              </w:rPr>
            </w:pPr>
          </w:p>
          <w:p w:rsidR="003B0955" w:rsidRPr="001D5F84" w:rsidRDefault="003B0955" w:rsidP="00682E5E">
            <w:pPr>
              <w:tabs>
                <w:tab w:val="left" w:pos="10019"/>
              </w:tabs>
              <w:ind w:left="19"/>
              <w:jc w:val="center"/>
              <w:rPr>
                <w:rFonts w:ascii="Arial" w:hAnsi="Arial" w:cs="Arial"/>
                <w:spacing w:val="-2"/>
                <w:sz w:val="20"/>
                <w:szCs w:val="20"/>
              </w:rPr>
            </w:pPr>
            <w:r w:rsidRPr="001D5F84">
              <w:rPr>
                <w:rFonts w:ascii="Arial" w:hAnsi="Arial" w:cs="Arial"/>
                <w:spacing w:val="-2"/>
                <w:sz w:val="20"/>
                <w:szCs w:val="20"/>
              </w:rPr>
              <w:t>0883036747900016</w:t>
            </w:r>
          </w:p>
          <w:p w:rsidR="003B0955" w:rsidRPr="001D5F84" w:rsidRDefault="003B0955" w:rsidP="00682E5E">
            <w:pPr>
              <w:jc w:val="center"/>
              <w:rPr>
                <w:rFonts w:ascii="Arial" w:hAnsi="Arial" w:cs="Arial"/>
                <w:spacing w:val="-2"/>
                <w:sz w:val="20"/>
                <w:szCs w:val="20"/>
              </w:rPr>
            </w:pPr>
          </w:p>
        </w:tc>
      </w:tr>
      <w:tr w:rsidR="00507DEF" w:rsidRPr="001D5F84" w:rsidTr="003B0955">
        <w:tc>
          <w:tcPr>
            <w:tcW w:w="421" w:type="dxa"/>
          </w:tcPr>
          <w:p w:rsidR="00507DEF" w:rsidRPr="001D5F84" w:rsidRDefault="00507DEF" w:rsidP="00682E5E">
            <w:pPr>
              <w:rPr>
                <w:rFonts w:ascii="Arial" w:hAnsi="Arial" w:cs="Arial"/>
                <w:spacing w:val="-2"/>
                <w:sz w:val="20"/>
                <w:szCs w:val="20"/>
              </w:rPr>
            </w:pPr>
            <w:r w:rsidRPr="001D5F84">
              <w:rPr>
                <w:rFonts w:ascii="Arial" w:hAnsi="Arial" w:cs="Arial"/>
                <w:spacing w:val="-2"/>
                <w:sz w:val="20"/>
                <w:szCs w:val="20"/>
              </w:rPr>
              <w:t>2.</w:t>
            </w:r>
          </w:p>
        </w:tc>
        <w:tc>
          <w:tcPr>
            <w:tcW w:w="3200" w:type="dxa"/>
          </w:tcPr>
          <w:p w:rsidR="00507DEF" w:rsidRPr="001D5F84" w:rsidRDefault="003B0955" w:rsidP="00682E5E">
            <w:pPr>
              <w:rPr>
                <w:rFonts w:ascii="Arial" w:hAnsi="Arial" w:cs="Arial"/>
                <w:spacing w:val="-2"/>
                <w:sz w:val="20"/>
                <w:szCs w:val="20"/>
              </w:rPr>
            </w:pPr>
            <w:r w:rsidRPr="001D5F84">
              <w:rPr>
                <w:rFonts w:ascii="Arial" w:hAnsi="Arial" w:cs="Arial"/>
                <w:spacing w:val="-2"/>
                <w:sz w:val="20"/>
                <w:szCs w:val="20"/>
              </w:rPr>
              <w:t>TÜRKERLER İNŞAAT TURİZM MADENCİLİK ENERJİ ÜRETİM TİCARET VE SANAYİ ANONİM ŞİRKETİ</w:t>
            </w:r>
          </w:p>
        </w:tc>
        <w:tc>
          <w:tcPr>
            <w:tcW w:w="2889" w:type="dxa"/>
          </w:tcPr>
          <w:p w:rsidR="00507DEF" w:rsidRPr="001D5F84" w:rsidRDefault="003B0955" w:rsidP="00682E5E">
            <w:pPr>
              <w:rPr>
                <w:rFonts w:ascii="Arial" w:hAnsi="Arial" w:cs="Arial"/>
                <w:spacing w:val="-2"/>
                <w:sz w:val="20"/>
                <w:szCs w:val="20"/>
              </w:rPr>
            </w:pPr>
            <w:r w:rsidRPr="001D5F84">
              <w:rPr>
                <w:rFonts w:ascii="Arial" w:hAnsi="Arial" w:cs="Arial"/>
                <w:spacing w:val="-2"/>
                <w:sz w:val="20"/>
                <w:szCs w:val="20"/>
              </w:rPr>
              <w:t>Mustafa Kemal Mah Dumlupınar Bulv No:274/7/67 Çankaya /ANKARA</w:t>
            </w:r>
          </w:p>
        </w:tc>
        <w:tc>
          <w:tcPr>
            <w:tcW w:w="740" w:type="dxa"/>
          </w:tcPr>
          <w:p w:rsidR="003B0955" w:rsidRPr="001D5F84" w:rsidRDefault="003B0955" w:rsidP="00682E5E">
            <w:pPr>
              <w:jc w:val="center"/>
              <w:rPr>
                <w:rFonts w:ascii="Arial" w:hAnsi="Arial" w:cs="Arial"/>
                <w:spacing w:val="-2"/>
                <w:sz w:val="20"/>
                <w:szCs w:val="20"/>
              </w:rPr>
            </w:pPr>
          </w:p>
          <w:p w:rsidR="00507DEF" w:rsidRPr="001D5F84" w:rsidRDefault="003B0955" w:rsidP="00682E5E">
            <w:pPr>
              <w:jc w:val="center"/>
              <w:rPr>
                <w:rFonts w:ascii="Arial" w:hAnsi="Arial" w:cs="Arial"/>
                <w:spacing w:val="-2"/>
                <w:sz w:val="20"/>
                <w:szCs w:val="20"/>
              </w:rPr>
            </w:pPr>
            <w:r w:rsidRPr="001D5F84">
              <w:rPr>
                <w:rFonts w:ascii="Arial" w:hAnsi="Arial" w:cs="Arial"/>
                <w:spacing w:val="-2"/>
                <w:sz w:val="20"/>
                <w:szCs w:val="20"/>
              </w:rPr>
              <w:t>T.C.</w:t>
            </w:r>
          </w:p>
        </w:tc>
        <w:tc>
          <w:tcPr>
            <w:tcW w:w="1812" w:type="dxa"/>
          </w:tcPr>
          <w:p w:rsidR="003B0955" w:rsidRPr="001D5F84" w:rsidRDefault="003B0955" w:rsidP="00682E5E">
            <w:pPr>
              <w:tabs>
                <w:tab w:val="left" w:pos="10019"/>
              </w:tabs>
              <w:ind w:left="19"/>
              <w:jc w:val="center"/>
              <w:rPr>
                <w:rFonts w:ascii="Arial" w:hAnsi="Arial" w:cs="Arial"/>
                <w:spacing w:val="-2"/>
                <w:sz w:val="20"/>
                <w:szCs w:val="20"/>
              </w:rPr>
            </w:pPr>
          </w:p>
          <w:p w:rsidR="003B0955" w:rsidRPr="001D5F84" w:rsidRDefault="003B0955" w:rsidP="00682E5E">
            <w:pPr>
              <w:tabs>
                <w:tab w:val="left" w:pos="10019"/>
              </w:tabs>
              <w:ind w:left="19"/>
              <w:jc w:val="center"/>
              <w:rPr>
                <w:rFonts w:ascii="Arial" w:hAnsi="Arial" w:cs="Arial"/>
                <w:spacing w:val="-2"/>
                <w:sz w:val="20"/>
                <w:szCs w:val="20"/>
              </w:rPr>
            </w:pPr>
          </w:p>
          <w:p w:rsidR="003B0955" w:rsidRPr="001D5F84" w:rsidRDefault="003B0955" w:rsidP="00682E5E">
            <w:pPr>
              <w:tabs>
                <w:tab w:val="left" w:pos="10019"/>
              </w:tabs>
              <w:ind w:left="19"/>
              <w:jc w:val="center"/>
              <w:rPr>
                <w:rFonts w:ascii="Arial" w:hAnsi="Arial" w:cs="Arial"/>
                <w:spacing w:val="-2"/>
                <w:sz w:val="20"/>
                <w:szCs w:val="20"/>
              </w:rPr>
            </w:pPr>
            <w:r w:rsidRPr="001D5F84">
              <w:rPr>
                <w:rFonts w:ascii="Arial" w:hAnsi="Arial" w:cs="Arial"/>
                <w:spacing w:val="-2"/>
                <w:sz w:val="20"/>
                <w:szCs w:val="20"/>
              </w:rPr>
              <w:t>0878002963600010</w:t>
            </w:r>
          </w:p>
          <w:p w:rsidR="00507DEF" w:rsidRPr="001D5F84" w:rsidRDefault="00507DEF" w:rsidP="00682E5E">
            <w:pPr>
              <w:jc w:val="center"/>
              <w:rPr>
                <w:rFonts w:ascii="Arial" w:hAnsi="Arial" w:cs="Arial"/>
                <w:spacing w:val="-2"/>
                <w:sz w:val="20"/>
                <w:szCs w:val="20"/>
              </w:rPr>
            </w:pPr>
          </w:p>
        </w:tc>
      </w:tr>
    </w:tbl>
    <w:p w:rsidR="00507DEF" w:rsidRDefault="00507DEF" w:rsidP="00682E5E">
      <w:pPr>
        <w:spacing w:line="240" w:lineRule="auto"/>
        <w:rPr>
          <w:rFonts w:ascii="Arial" w:hAnsi="Arial" w:cs="Arial"/>
          <w:b/>
          <w:bCs/>
          <w:sz w:val="20"/>
          <w:szCs w:val="20"/>
        </w:rPr>
      </w:pPr>
    </w:p>
    <w:p w:rsidR="00F109B6" w:rsidRPr="001D5F84" w:rsidRDefault="00F109B6" w:rsidP="00682E5E">
      <w:pPr>
        <w:spacing w:line="240" w:lineRule="auto"/>
        <w:rPr>
          <w:rFonts w:ascii="Arial" w:hAnsi="Arial" w:cs="Arial"/>
          <w:b/>
          <w:bCs/>
          <w:sz w:val="20"/>
          <w:szCs w:val="20"/>
        </w:rPr>
      </w:pPr>
      <w:r>
        <w:rPr>
          <w:rFonts w:ascii="Arial" w:hAnsi="Arial" w:cs="Arial"/>
          <w:b/>
          <w:bCs/>
          <w:sz w:val="20"/>
          <w:szCs w:val="20"/>
        </w:rPr>
        <w:t>Madde 2:</w:t>
      </w:r>
    </w:p>
    <w:p w:rsidR="003B0955" w:rsidRPr="001D5F84" w:rsidRDefault="003B0955" w:rsidP="00682E5E">
      <w:pPr>
        <w:spacing w:line="240" w:lineRule="auto"/>
        <w:rPr>
          <w:rFonts w:ascii="Arial" w:hAnsi="Arial" w:cs="Arial"/>
          <w:b/>
          <w:bCs/>
          <w:sz w:val="20"/>
          <w:szCs w:val="20"/>
        </w:rPr>
      </w:pPr>
      <w:r w:rsidRPr="001D5F84">
        <w:rPr>
          <w:rFonts w:ascii="Arial" w:hAnsi="Arial" w:cs="Arial"/>
          <w:b/>
          <w:bCs/>
          <w:sz w:val="20"/>
          <w:szCs w:val="20"/>
        </w:rPr>
        <w:t>ŞİRKETİN ÜNVANI</w:t>
      </w:r>
    </w:p>
    <w:p w:rsidR="003B0955" w:rsidRDefault="003B0955" w:rsidP="00682E5E">
      <w:pPr>
        <w:spacing w:before="92" w:line="240" w:lineRule="auto"/>
        <w:ind w:left="100"/>
        <w:rPr>
          <w:rFonts w:ascii="Arial" w:hAnsi="Arial" w:cs="Arial"/>
          <w:spacing w:val="-2"/>
          <w:sz w:val="20"/>
          <w:szCs w:val="20"/>
        </w:rPr>
      </w:pPr>
      <w:r w:rsidRPr="001D5F84">
        <w:rPr>
          <w:rFonts w:ascii="Arial" w:hAnsi="Arial" w:cs="Arial"/>
          <w:spacing w:val="-2"/>
          <w:sz w:val="20"/>
          <w:szCs w:val="20"/>
        </w:rPr>
        <w:t xml:space="preserve">Şirketin unvanı </w:t>
      </w:r>
      <w:r w:rsidRPr="001D5F84">
        <w:rPr>
          <w:rFonts w:ascii="Arial" w:hAnsi="Arial" w:cs="Arial"/>
          <w:b/>
          <w:spacing w:val="-2"/>
          <w:sz w:val="20"/>
          <w:szCs w:val="20"/>
        </w:rPr>
        <w:t>TÜRKER VANGÖLÜ ENERJİ YATIRIM ANONİM ŞİRKETİ</w:t>
      </w:r>
      <w:r w:rsidRPr="001D5F84">
        <w:rPr>
          <w:rFonts w:ascii="Arial" w:hAnsi="Arial" w:cs="Arial"/>
          <w:spacing w:val="-2"/>
          <w:sz w:val="20"/>
          <w:szCs w:val="20"/>
        </w:rPr>
        <w:t xml:space="preserve"> dir.</w:t>
      </w:r>
      <w:r w:rsidRPr="001D5F84">
        <w:rPr>
          <w:rFonts w:ascii="Arial" w:hAnsi="Arial" w:cs="Arial"/>
          <w:spacing w:val="-2"/>
          <w:sz w:val="20"/>
          <w:szCs w:val="20"/>
        </w:rPr>
        <w:t xml:space="preserve">  </w:t>
      </w:r>
      <w:r w:rsidRPr="001D5F84">
        <w:rPr>
          <w:rFonts w:ascii="Arial" w:hAnsi="Arial" w:cs="Arial"/>
          <w:spacing w:val="-2"/>
          <w:sz w:val="20"/>
          <w:szCs w:val="20"/>
        </w:rPr>
        <w:t xml:space="preserve">Esas </w:t>
      </w:r>
      <w:r w:rsidR="00F109B6" w:rsidRPr="001D5F84">
        <w:rPr>
          <w:rFonts w:ascii="Arial" w:hAnsi="Arial" w:cs="Arial"/>
          <w:spacing w:val="-2"/>
          <w:sz w:val="20"/>
          <w:szCs w:val="20"/>
        </w:rPr>
        <w:t>Sözleşme ’de</w:t>
      </w:r>
      <w:r w:rsidRPr="001D5F84">
        <w:rPr>
          <w:rFonts w:ascii="Arial" w:hAnsi="Arial" w:cs="Arial"/>
          <w:spacing w:val="-2"/>
          <w:sz w:val="20"/>
          <w:szCs w:val="20"/>
        </w:rPr>
        <w:t xml:space="preserve"> kısaca “Şirket” olarak anılacaktır.</w:t>
      </w:r>
    </w:p>
    <w:p w:rsidR="00F109B6" w:rsidRPr="001D5F84" w:rsidRDefault="00F109B6" w:rsidP="00682E5E">
      <w:pPr>
        <w:spacing w:line="240" w:lineRule="auto"/>
        <w:rPr>
          <w:rFonts w:ascii="Arial" w:hAnsi="Arial" w:cs="Arial"/>
          <w:b/>
          <w:bCs/>
          <w:sz w:val="20"/>
          <w:szCs w:val="20"/>
        </w:rPr>
      </w:pPr>
      <w:r w:rsidRPr="001D5F84">
        <w:rPr>
          <w:rFonts w:ascii="Arial" w:hAnsi="Arial" w:cs="Arial"/>
          <w:b/>
          <w:bCs/>
          <w:sz w:val="20"/>
          <w:szCs w:val="20"/>
        </w:rPr>
        <w:t>Madde 3:</w:t>
      </w:r>
    </w:p>
    <w:p w:rsidR="003B0955" w:rsidRPr="001D5F84" w:rsidRDefault="00F109B6" w:rsidP="00682E5E">
      <w:pPr>
        <w:spacing w:line="240" w:lineRule="auto"/>
        <w:rPr>
          <w:rFonts w:ascii="Arial" w:hAnsi="Arial" w:cs="Arial"/>
          <w:b/>
          <w:bCs/>
          <w:sz w:val="20"/>
          <w:szCs w:val="20"/>
        </w:rPr>
      </w:pPr>
      <w:r w:rsidRPr="001D5F84">
        <w:rPr>
          <w:rFonts w:ascii="Arial" w:hAnsi="Arial" w:cs="Arial"/>
          <w:b/>
          <w:bCs/>
          <w:sz w:val="20"/>
          <w:szCs w:val="20"/>
        </w:rPr>
        <w:t>AMAÇ VE</w:t>
      </w:r>
      <w:r w:rsidR="003B0955" w:rsidRPr="001D5F84">
        <w:rPr>
          <w:rFonts w:ascii="Arial" w:hAnsi="Arial" w:cs="Arial"/>
          <w:b/>
          <w:bCs/>
          <w:sz w:val="20"/>
          <w:szCs w:val="20"/>
        </w:rPr>
        <w:t xml:space="preserve"> KONU</w:t>
      </w:r>
    </w:p>
    <w:p w:rsidR="003B0955" w:rsidRDefault="003B0955" w:rsidP="003F0741">
      <w:pPr>
        <w:pStyle w:val="GvdeMetni"/>
        <w:spacing w:before="92"/>
        <w:ind w:right="109"/>
        <w:jc w:val="both"/>
        <w:rPr>
          <w:rFonts w:eastAsiaTheme="minorHAnsi"/>
          <w:spacing w:val="-2"/>
          <w:sz w:val="20"/>
          <w:szCs w:val="20"/>
        </w:rPr>
      </w:pPr>
      <w:r w:rsidRPr="001D5F84">
        <w:rPr>
          <w:rFonts w:eastAsiaTheme="minorHAnsi"/>
          <w:spacing w:val="-2"/>
          <w:sz w:val="20"/>
          <w:szCs w:val="20"/>
        </w:rPr>
        <w:t xml:space="preserve">Şirket, </w:t>
      </w:r>
      <w:r w:rsidR="00EC375F" w:rsidRPr="001D5F84">
        <w:rPr>
          <w:rFonts w:eastAsiaTheme="minorHAnsi"/>
          <w:spacing w:val="-2"/>
          <w:sz w:val="20"/>
          <w:szCs w:val="20"/>
        </w:rPr>
        <w:t xml:space="preserve">elektrik </w:t>
      </w:r>
      <w:r w:rsidR="00EC375F">
        <w:rPr>
          <w:rFonts w:eastAsiaTheme="minorHAnsi"/>
          <w:spacing w:val="-2"/>
          <w:sz w:val="20"/>
          <w:szCs w:val="20"/>
        </w:rPr>
        <w:t>enerjisi</w:t>
      </w:r>
      <w:r w:rsidRPr="001D5F84">
        <w:rPr>
          <w:rFonts w:eastAsiaTheme="minorHAnsi"/>
          <w:spacing w:val="-2"/>
          <w:sz w:val="20"/>
          <w:szCs w:val="20"/>
        </w:rPr>
        <w:t xml:space="preserve"> dağıtımı ve tedariki, perakende satışı, elektrik enerjisi toptan satış ve ticareti ve sair ürün ticareti, enerji verimliliği, ikamet, ticari, endüstriyel ve kamu sektörü müşterileri için hizmetlerin sağlanması ve geliştirilmesi dâhil olmak üzere 6362 sayılı Sermaye Piyasası Kanunu’nun (“</w:t>
      </w:r>
      <w:r w:rsidR="00F109B6" w:rsidRPr="001D5F84">
        <w:rPr>
          <w:rFonts w:eastAsiaTheme="minorHAnsi"/>
          <w:spacing w:val="-2"/>
          <w:sz w:val="20"/>
          <w:szCs w:val="20"/>
        </w:rPr>
        <w:t>SPK’n</w:t>
      </w:r>
      <w:r w:rsidRPr="001D5F84">
        <w:rPr>
          <w:rFonts w:eastAsiaTheme="minorHAnsi"/>
          <w:spacing w:val="-2"/>
          <w:sz w:val="20"/>
          <w:szCs w:val="20"/>
        </w:rPr>
        <w:t xml:space="preserve">”) örtülü kazanç aktarımına ilişkin hükümleri saklı kalmak kaydıyla ilgili sair faaliyetler ile iştigal eden şirketlere iştirak etmek ve iştiraklerini yönetmek, enerji sektöründe faaliyette bulunmak ve enerji sektöründe faaliyette bulunan, sermayesi ve yönetimine katıldığı şirketlerin, aynı yönetim ve davranış ilkelerine bağlı olarak, günün şartlarına uygun ve ihtiyaçlarına cevap verecek şekilde sevk ve idare edilmelerini temin etmek amacıyla kurulmuş olup, 6102 sayılı Türk Ticaret Kanunu (“TTK”), 6362 sayılı </w:t>
      </w:r>
      <w:r w:rsidR="00F109B6" w:rsidRPr="001D5F84">
        <w:rPr>
          <w:rFonts w:eastAsiaTheme="minorHAnsi"/>
          <w:spacing w:val="-2"/>
          <w:sz w:val="20"/>
          <w:szCs w:val="20"/>
        </w:rPr>
        <w:t>SPK’n</w:t>
      </w:r>
      <w:r w:rsidRPr="001D5F84">
        <w:rPr>
          <w:rFonts w:eastAsiaTheme="minorHAnsi"/>
          <w:spacing w:val="-2"/>
          <w:sz w:val="20"/>
          <w:szCs w:val="20"/>
        </w:rPr>
        <w:t xml:space="preserve"> ve Sermaye Piyasası Kurulu (“SPK”) düzenlemeleri ve sermaye piyasası mevzuatına uymak suretiyle faaliyet göstermektedir.</w:t>
      </w:r>
    </w:p>
    <w:p w:rsidR="00CD5E14" w:rsidRPr="001D5F84" w:rsidRDefault="00CD5E14" w:rsidP="003F0741">
      <w:pPr>
        <w:pStyle w:val="GvdeMetni"/>
        <w:spacing w:before="92"/>
        <w:ind w:right="109"/>
        <w:jc w:val="both"/>
        <w:rPr>
          <w:rFonts w:eastAsiaTheme="minorHAnsi"/>
          <w:spacing w:val="-2"/>
          <w:sz w:val="20"/>
          <w:szCs w:val="20"/>
        </w:rPr>
      </w:pPr>
    </w:p>
    <w:p w:rsidR="003B0955" w:rsidRPr="001D5F84" w:rsidRDefault="003B0955" w:rsidP="003F0741">
      <w:pPr>
        <w:pStyle w:val="GvdeMetni"/>
        <w:spacing w:before="8"/>
        <w:rPr>
          <w:rFonts w:eastAsiaTheme="minorHAnsi"/>
          <w:spacing w:val="-2"/>
          <w:sz w:val="20"/>
          <w:szCs w:val="20"/>
        </w:rPr>
      </w:pPr>
      <w:r w:rsidRPr="001D5F84">
        <w:rPr>
          <w:rFonts w:eastAsiaTheme="minorHAnsi"/>
          <w:spacing w:val="-2"/>
          <w:sz w:val="20"/>
          <w:szCs w:val="20"/>
        </w:rPr>
        <w:t>SPKn’nun örtülü kazanç aktarımına ilişkin hükümleri saklı kalmak kaydıyla Şirket, bu amaçları gerçekleştirmek üzere aşağıdaki konularda faaliyette bulunacaktır:</w:t>
      </w:r>
    </w:p>
    <w:p w:rsidR="003B0955" w:rsidRPr="001D5F84" w:rsidRDefault="003B0955" w:rsidP="003F0741">
      <w:pPr>
        <w:pStyle w:val="ListeParagraf"/>
        <w:widowControl w:val="0"/>
        <w:numPr>
          <w:ilvl w:val="0"/>
          <w:numId w:val="2"/>
        </w:numPr>
        <w:tabs>
          <w:tab w:val="left" w:pos="379"/>
        </w:tabs>
        <w:autoSpaceDE w:val="0"/>
        <w:autoSpaceDN w:val="0"/>
        <w:spacing w:before="84" w:after="0" w:line="240" w:lineRule="auto"/>
        <w:ind w:left="322" w:hanging="279"/>
        <w:contextualSpacing w:val="0"/>
        <w:rPr>
          <w:rFonts w:ascii="Arial" w:hAnsi="Arial" w:cs="Arial"/>
          <w:spacing w:val="-2"/>
          <w:sz w:val="20"/>
          <w:szCs w:val="20"/>
        </w:rPr>
      </w:pPr>
      <w:r w:rsidRPr="001D5F84">
        <w:rPr>
          <w:rFonts w:ascii="Arial" w:hAnsi="Arial" w:cs="Arial"/>
          <w:spacing w:val="-2"/>
          <w:sz w:val="20"/>
          <w:szCs w:val="20"/>
        </w:rPr>
        <w:t>Elektrik enerjisi ve/veya kapasiteyi toptan satış lisansı sahibi tüzel kişilere, perakende satış lisansı sahibi tüzel kişilere ve serbest tüketicilere ikili anlaşmalar yoluyla satmak.</w:t>
      </w:r>
    </w:p>
    <w:p w:rsidR="003B0955" w:rsidRPr="001D5F84" w:rsidRDefault="003B0955" w:rsidP="003F0741">
      <w:pPr>
        <w:pStyle w:val="ListeParagraf"/>
        <w:widowControl w:val="0"/>
        <w:numPr>
          <w:ilvl w:val="0"/>
          <w:numId w:val="2"/>
        </w:numPr>
        <w:tabs>
          <w:tab w:val="left" w:pos="379"/>
        </w:tabs>
        <w:autoSpaceDE w:val="0"/>
        <w:autoSpaceDN w:val="0"/>
        <w:spacing w:before="84" w:after="0" w:line="240" w:lineRule="auto"/>
        <w:ind w:left="322" w:hanging="279"/>
        <w:contextualSpacing w:val="0"/>
        <w:rPr>
          <w:rFonts w:ascii="Arial" w:hAnsi="Arial" w:cs="Arial"/>
          <w:spacing w:val="-2"/>
          <w:sz w:val="20"/>
          <w:szCs w:val="20"/>
        </w:rPr>
      </w:pPr>
      <w:r w:rsidRPr="001D5F84">
        <w:rPr>
          <w:rFonts w:ascii="Arial" w:hAnsi="Arial" w:cs="Arial"/>
          <w:spacing w:val="-2"/>
          <w:sz w:val="20"/>
          <w:szCs w:val="20"/>
        </w:rPr>
        <w:t>Kurulmuş veya kurulacak dağıtım şirketleri ile iştirak ilişkisine girmek.</w:t>
      </w:r>
    </w:p>
    <w:p w:rsidR="003B0955" w:rsidRPr="001D5F84" w:rsidRDefault="003B0955" w:rsidP="003F0741">
      <w:pPr>
        <w:pStyle w:val="ListeParagraf"/>
        <w:widowControl w:val="0"/>
        <w:numPr>
          <w:ilvl w:val="0"/>
          <w:numId w:val="2"/>
        </w:numPr>
        <w:tabs>
          <w:tab w:val="left" w:pos="379"/>
        </w:tabs>
        <w:autoSpaceDE w:val="0"/>
        <w:autoSpaceDN w:val="0"/>
        <w:spacing w:before="84" w:after="0" w:line="240" w:lineRule="auto"/>
        <w:ind w:left="322" w:hanging="279"/>
        <w:contextualSpacing w:val="0"/>
        <w:rPr>
          <w:rFonts w:ascii="Arial" w:hAnsi="Arial" w:cs="Arial"/>
          <w:spacing w:val="-2"/>
          <w:sz w:val="20"/>
          <w:szCs w:val="20"/>
        </w:rPr>
      </w:pPr>
      <w:r w:rsidRPr="001D5F84">
        <w:rPr>
          <w:rFonts w:ascii="Arial" w:hAnsi="Arial" w:cs="Arial"/>
          <w:spacing w:val="-2"/>
          <w:sz w:val="20"/>
          <w:szCs w:val="20"/>
        </w:rPr>
        <w:t>Kurulmuş veya kurulacak perakende şirketleri ile iştirak ilişkisine girmek.</w:t>
      </w:r>
    </w:p>
    <w:p w:rsidR="003B0955" w:rsidRPr="001D5F84" w:rsidRDefault="003B0955" w:rsidP="003F0741">
      <w:pPr>
        <w:pStyle w:val="ListeParagraf"/>
        <w:widowControl w:val="0"/>
        <w:numPr>
          <w:ilvl w:val="0"/>
          <w:numId w:val="2"/>
        </w:numPr>
        <w:tabs>
          <w:tab w:val="left" w:pos="379"/>
        </w:tabs>
        <w:autoSpaceDE w:val="0"/>
        <w:autoSpaceDN w:val="0"/>
        <w:spacing w:before="84" w:after="0" w:line="240" w:lineRule="auto"/>
        <w:ind w:left="322" w:hanging="279"/>
        <w:contextualSpacing w:val="0"/>
        <w:rPr>
          <w:rFonts w:ascii="Arial" w:hAnsi="Arial" w:cs="Arial"/>
          <w:spacing w:val="-2"/>
          <w:sz w:val="20"/>
          <w:szCs w:val="20"/>
        </w:rPr>
      </w:pPr>
      <w:r w:rsidRPr="001D5F84">
        <w:rPr>
          <w:rFonts w:ascii="Arial" w:hAnsi="Arial" w:cs="Arial"/>
          <w:spacing w:val="-2"/>
          <w:sz w:val="20"/>
          <w:szCs w:val="20"/>
        </w:rPr>
        <w:t>Kurulmuş veya kurulacak elektrik enerjisi üretim şirketleri ile iştirak ilişkisine girmek.</w:t>
      </w:r>
    </w:p>
    <w:p w:rsidR="003B0955" w:rsidRDefault="003B0955" w:rsidP="003F0741">
      <w:pPr>
        <w:pStyle w:val="GvdeMetni"/>
        <w:spacing w:before="84"/>
        <w:rPr>
          <w:rFonts w:eastAsiaTheme="minorHAnsi"/>
          <w:spacing w:val="-2"/>
          <w:sz w:val="20"/>
          <w:szCs w:val="20"/>
        </w:rPr>
      </w:pPr>
      <w:r w:rsidRPr="001D5F84">
        <w:rPr>
          <w:rFonts w:eastAsiaTheme="minorHAnsi"/>
          <w:spacing w:val="-2"/>
          <w:sz w:val="20"/>
          <w:szCs w:val="20"/>
        </w:rPr>
        <w:t>Şirket, Sermaye piyasası mevzuatının örtülü kazanç aktarımına ilişkin hükümleri saklı kalmak koşuluyla amaç ve konusu ile ilgili hususları gerçekleştirmek için şirket faaliyetleri ile sınırlı olmak kaydıyla aşağıdaki hususlarda da faaliyet gösterebilir:</w:t>
      </w:r>
    </w:p>
    <w:p w:rsidR="001D5F84" w:rsidRPr="001D5F84" w:rsidRDefault="001D5F84" w:rsidP="003F0741">
      <w:pPr>
        <w:pStyle w:val="ListeParagraf"/>
        <w:widowControl w:val="0"/>
        <w:tabs>
          <w:tab w:val="left" w:pos="395"/>
        </w:tabs>
        <w:autoSpaceDE w:val="0"/>
        <w:autoSpaceDN w:val="0"/>
        <w:spacing w:before="84" w:after="0" w:line="240" w:lineRule="auto"/>
        <w:ind w:left="100" w:right="112"/>
        <w:contextualSpacing w:val="0"/>
        <w:jc w:val="both"/>
        <w:rPr>
          <w:rFonts w:ascii="Arial" w:hAnsi="Arial" w:cs="Arial"/>
          <w:spacing w:val="-2"/>
          <w:sz w:val="20"/>
          <w:szCs w:val="20"/>
        </w:rPr>
      </w:pPr>
    </w:p>
    <w:p w:rsidR="003B0955" w:rsidRPr="001D5F84" w:rsidRDefault="003B0955" w:rsidP="003F0741">
      <w:pPr>
        <w:pStyle w:val="ListeParagraf"/>
        <w:widowControl w:val="0"/>
        <w:numPr>
          <w:ilvl w:val="0"/>
          <w:numId w:val="3"/>
        </w:numPr>
        <w:tabs>
          <w:tab w:val="left" w:pos="389"/>
        </w:tabs>
        <w:autoSpaceDE w:val="0"/>
        <w:autoSpaceDN w:val="0"/>
        <w:spacing w:before="84" w:after="0" w:line="240" w:lineRule="auto"/>
        <w:ind w:right="112" w:firstLine="0"/>
        <w:contextualSpacing w:val="0"/>
        <w:jc w:val="both"/>
        <w:rPr>
          <w:rFonts w:ascii="Arial" w:hAnsi="Arial" w:cs="Arial"/>
          <w:spacing w:val="-2"/>
          <w:sz w:val="20"/>
          <w:szCs w:val="20"/>
        </w:rPr>
      </w:pPr>
      <w:r w:rsidRPr="001D5F84">
        <w:rPr>
          <w:rFonts w:ascii="Arial" w:hAnsi="Arial" w:cs="Arial"/>
          <w:spacing w:val="-2"/>
          <w:sz w:val="20"/>
          <w:szCs w:val="20"/>
        </w:rPr>
        <w:t>Şirket faaliyetleri ile sınırlı olmak kaydıyla, her türlü inşaat işlerini yapmak, enerji nakil hatları ve dağıtım şebekelerini kurmak, ilgili teçhizatı, türbinleri ve diğer her türlü teknik donanım ve ekipmanlarını imal etmek, almak, satmak, ithalat ve ihracını yapmak ve bakım onarımına ilişkin her türlü faaliyette bulunmak.</w:t>
      </w:r>
    </w:p>
    <w:p w:rsidR="003B0955" w:rsidRPr="001D5F84" w:rsidRDefault="003B0955" w:rsidP="003F0741">
      <w:pPr>
        <w:pStyle w:val="ListeParagraf"/>
        <w:widowControl w:val="0"/>
        <w:numPr>
          <w:ilvl w:val="0"/>
          <w:numId w:val="3"/>
        </w:numPr>
        <w:tabs>
          <w:tab w:val="left" w:pos="379"/>
        </w:tabs>
        <w:autoSpaceDE w:val="0"/>
        <w:autoSpaceDN w:val="0"/>
        <w:spacing w:before="84" w:after="0" w:line="240" w:lineRule="auto"/>
        <w:ind w:right="112" w:firstLine="0"/>
        <w:contextualSpacing w:val="0"/>
        <w:jc w:val="both"/>
        <w:rPr>
          <w:rFonts w:ascii="Arial" w:hAnsi="Arial" w:cs="Arial"/>
          <w:spacing w:val="-2"/>
          <w:sz w:val="20"/>
          <w:szCs w:val="20"/>
        </w:rPr>
      </w:pPr>
      <w:r w:rsidRPr="001D5F84">
        <w:rPr>
          <w:rFonts w:ascii="Arial" w:hAnsi="Arial" w:cs="Arial"/>
          <w:spacing w:val="-2"/>
          <w:sz w:val="20"/>
          <w:szCs w:val="20"/>
        </w:rPr>
        <w:t>Faaliyet konuları ile ilgili olarak tesisleri kiralamak, satın almak, satmak ve işletmek.</w:t>
      </w:r>
    </w:p>
    <w:p w:rsidR="003B0955" w:rsidRPr="001D5F84" w:rsidRDefault="003B0955" w:rsidP="003F0741">
      <w:pPr>
        <w:pStyle w:val="ListeParagraf"/>
        <w:widowControl w:val="0"/>
        <w:numPr>
          <w:ilvl w:val="0"/>
          <w:numId w:val="3"/>
        </w:numPr>
        <w:tabs>
          <w:tab w:val="left" w:pos="379"/>
        </w:tabs>
        <w:autoSpaceDE w:val="0"/>
        <w:autoSpaceDN w:val="0"/>
        <w:spacing w:before="84" w:after="0" w:line="240" w:lineRule="auto"/>
        <w:ind w:right="112" w:firstLine="0"/>
        <w:contextualSpacing w:val="0"/>
        <w:jc w:val="both"/>
        <w:rPr>
          <w:rFonts w:ascii="Arial" w:hAnsi="Arial" w:cs="Arial"/>
          <w:spacing w:val="-2"/>
          <w:sz w:val="20"/>
          <w:szCs w:val="20"/>
        </w:rPr>
      </w:pPr>
      <w:r w:rsidRPr="001D5F84">
        <w:rPr>
          <w:rFonts w:ascii="Arial" w:hAnsi="Arial" w:cs="Arial"/>
          <w:spacing w:val="-2"/>
          <w:sz w:val="20"/>
          <w:szCs w:val="20"/>
        </w:rPr>
        <w:t>Şirket faaliyetleri ile sınırlı olmak kaydıyla, açılacak resmi ve özel ihalelere iştirak etmek, ihaleler açmak, her aşamada ve seviyede gerekli teknolojiyi almak, ithal etmek.</w:t>
      </w:r>
    </w:p>
    <w:p w:rsidR="003B0955" w:rsidRPr="001D5F84" w:rsidRDefault="003B0955" w:rsidP="003F0741">
      <w:pPr>
        <w:pStyle w:val="ListeParagraf"/>
        <w:widowControl w:val="0"/>
        <w:numPr>
          <w:ilvl w:val="0"/>
          <w:numId w:val="3"/>
        </w:numPr>
        <w:tabs>
          <w:tab w:val="left" w:pos="379"/>
        </w:tabs>
        <w:autoSpaceDE w:val="0"/>
        <w:autoSpaceDN w:val="0"/>
        <w:spacing w:before="84" w:after="0" w:line="240" w:lineRule="auto"/>
        <w:ind w:right="112" w:firstLine="0"/>
        <w:contextualSpacing w:val="0"/>
        <w:jc w:val="both"/>
        <w:rPr>
          <w:rFonts w:ascii="Arial" w:hAnsi="Arial" w:cs="Arial"/>
          <w:spacing w:val="-2"/>
          <w:sz w:val="20"/>
          <w:szCs w:val="20"/>
        </w:rPr>
      </w:pPr>
      <w:r w:rsidRPr="001D5F84">
        <w:rPr>
          <w:rFonts w:ascii="Arial" w:hAnsi="Arial" w:cs="Arial"/>
          <w:spacing w:val="-2"/>
          <w:sz w:val="20"/>
          <w:szCs w:val="20"/>
        </w:rPr>
        <w:t>Faaliyet konuları ile ilgili olarak yerli ve/veya yabancı şirketler ile anlaşmalar yapıp, yurt içi ve yurt dışında ihalelere girmek taahhütte bulunmak.</w:t>
      </w:r>
    </w:p>
    <w:p w:rsidR="003B0955" w:rsidRPr="001D5F84" w:rsidRDefault="003B0955" w:rsidP="00682E5E">
      <w:pPr>
        <w:pStyle w:val="ListeParagraf"/>
        <w:widowControl w:val="0"/>
        <w:numPr>
          <w:ilvl w:val="0"/>
          <w:numId w:val="3"/>
        </w:numPr>
        <w:tabs>
          <w:tab w:val="left" w:pos="395"/>
        </w:tabs>
        <w:autoSpaceDE w:val="0"/>
        <w:autoSpaceDN w:val="0"/>
        <w:spacing w:before="84" w:after="0" w:line="240" w:lineRule="auto"/>
        <w:ind w:right="112" w:firstLine="0"/>
        <w:contextualSpacing w:val="0"/>
        <w:jc w:val="both"/>
        <w:rPr>
          <w:rFonts w:ascii="Arial" w:hAnsi="Arial" w:cs="Arial"/>
          <w:spacing w:val="-2"/>
          <w:sz w:val="20"/>
          <w:szCs w:val="20"/>
        </w:rPr>
      </w:pPr>
      <w:r w:rsidRPr="001D5F84">
        <w:rPr>
          <w:rFonts w:ascii="Arial" w:hAnsi="Arial" w:cs="Arial"/>
          <w:spacing w:val="-2"/>
          <w:sz w:val="20"/>
          <w:szCs w:val="20"/>
        </w:rPr>
        <w:t xml:space="preserve">Şirketin işleri için iç ve </w:t>
      </w:r>
      <w:r w:rsidR="00EC375F" w:rsidRPr="001D5F84">
        <w:rPr>
          <w:rFonts w:ascii="Arial" w:hAnsi="Arial" w:cs="Arial"/>
          <w:spacing w:val="-2"/>
          <w:sz w:val="20"/>
          <w:szCs w:val="20"/>
        </w:rPr>
        <w:t>dış piyasalardan</w:t>
      </w:r>
      <w:r w:rsidRPr="001D5F84">
        <w:rPr>
          <w:rFonts w:ascii="Arial" w:hAnsi="Arial" w:cs="Arial"/>
          <w:spacing w:val="-2"/>
          <w:sz w:val="20"/>
          <w:szCs w:val="20"/>
        </w:rPr>
        <w:t xml:space="preserve"> her türlü uzun, orta ve kısa vadeli krediler almak, emsal ve kefalet kredileri, yatırım kredileri ve benzer krediler temin etmek, emtia, akreditif kredileri, senet üzerine avans kredileri almak, kredi alma </w:t>
      </w:r>
      <w:r w:rsidRPr="001D5F84">
        <w:rPr>
          <w:rFonts w:ascii="Arial" w:hAnsi="Arial" w:cs="Arial"/>
          <w:spacing w:val="-2"/>
          <w:sz w:val="20"/>
          <w:szCs w:val="20"/>
        </w:rPr>
        <w:lastRenderedPageBreak/>
        <w:t>sözleşmelerini akdetmek, kredileri için rehin, ipotek tesis etmek, gerek kendi gerekse üçüncü gerçek veya tüzel kişilerin borç ve/veya tüzel kişilerin borç ve/veya kredileri için ipotek vermek, kefil olmak bunların fekkini talep etmek, şirketin alacaklarını teminat altına alabilmek için ipotek, rehin ve kefalet almak ve bunları fek etmek, işletme rehni tesis edebilmek.</w:t>
      </w:r>
    </w:p>
    <w:p w:rsidR="003B0955" w:rsidRPr="001D5F84" w:rsidRDefault="003B0955" w:rsidP="00682E5E">
      <w:pPr>
        <w:pStyle w:val="GvdeMetni"/>
        <w:spacing w:before="5"/>
        <w:ind w:left="100" w:right="139"/>
        <w:jc w:val="both"/>
        <w:rPr>
          <w:rFonts w:eastAsiaTheme="minorHAnsi"/>
          <w:spacing w:val="-2"/>
          <w:sz w:val="20"/>
          <w:szCs w:val="20"/>
        </w:rPr>
      </w:pPr>
      <w:r w:rsidRPr="001D5F84">
        <w:rPr>
          <w:rFonts w:eastAsiaTheme="minorHAnsi"/>
          <w:spacing w:val="-2"/>
          <w:sz w:val="20"/>
          <w:szCs w:val="20"/>
        </w:rPr>
        <w:t xml:space="preserve">Şirket’in kendi adına ve 3. kişiler lehine, garanti, kefalet, teminat vermesi veya ipotek </w:t>
      </w:r>
      <w:r w:rsidR="00EC375F" w:rsidRPr="001D5F84">
        <w:rPr>
          <w:rFonts w:eastAsiaTheme="minorHAnsi"/>
          <w:spacing w:val="-2"/>
          <w:sz w:val="20"/>
          <w:szCs w:val="20"/>
        </w:rPr>
        <w:t>dâhil</w:t>
      </w:r>
      <w:r w:rsidRPr="001D5F84">
        <w:rPr>
          <w:rFonts w:eastAsiaTheme="minorHAnsi"/>
          <w:spacing w:val="-2"/>
          <w:sz w:val="20"/>
          <w:szCs w:val="20"/>
        </w:rPr>
        <w:t xml:space="preserve"> rehin hakkı tesis etmesi hususlarında sermaye piyasası mevzuatı çerçevesinde belirlenen esaslara uyulur.</w:t>
      </w:r>
    </w:p>
    <w:p w:rsidR="003B0955" w:rsidRPr="001D5F84" w:rsidRDefault="00EC375F" w:rsidP="00682E5E">
      <w:pPr>
        <w:pStyle w:val="ListeParagraf"/>
        <w:widowControl w:val="0"/>
        <w:numPr>
          <w:ilvl w:val="0"/>
          <w:numId w:val="3"/>
        </w:numPr>
        <w:tabs>
          <w:tab w:val="left" w:pos="386"/>
        </w:tabs>
        <w:autoSpaceDE w:val="0"/>
        <w:autoSpaceDN w:val="0"/>
        <w:spacing w:before="2" w:after="0" w:line="240" w:lineRule="auto"/>
        <w:ind w:right="138" w:firstLine="0"/>
        <w:contextualSpacing w:val="0"/>
        <w:jc w:val="both"/>
        <w:rPr>
          <w:rFonts w:ascii="Arial" w:hAnsi="Arial" w:cs="Arial"/>
          <w:spacing w:val="-2"/>
          <w:sz w:val="20"/>
          <w:szCs w:val="20"/>
        </w:rPr>
      </w:pPr>
      <w:r w:rsidRPr="001D5F84">
        <w:rPr>
          <w:rFonts w:ascii="Arial" w:hAnsi="Arial" w:cs="Arial"/>
          <w:spacing w:val="-2"/>
          <w:sz w:val="20"/>
          <w:szCs w:val="20"/>
        </w:rPr>
        <w:t>SPK’n</w:t>
      </w:r>
      <w:r w:rsidR="003B0955" w:rsidRPr="001D5F84">
        <w:rPr>
          <w:rFonts w:ascii="Arial" w:hAnsi="Arial" w:cs="Arial"/>
          <w:spacing w:val="-2"/>
          <w:sz w:val="20"/>
          <w:szCs w:val="20"/>
        </w:rPr>
        <w:t>’</w:t>
      </w:r>
      <w:r w:rsidR="001D5F84" w:rsidRPr="001D5F84">
        <w:rPr>
          <w:rFonts w:ascii="Arial" w:hAnsi="Arial" w:cs="Arial"/>
          <w:spacing w:val="-2"/>
          <w:sz w:val="20"/>
          <w:szCs w:val="20"/>
        </w:rPr>
        <w:t xml:space="preserve"> </w:t>
      </w:r>
      <w:r w:rsidR="003B0955" w:rsidRPr="001D5F84">
        <w:rPr>
          <w:rFonts w:ascii="Arial" w:hAnsi="Arial" w:cs="Arial"/>
          <w:spacing w:val="-2"/>
          <w:sz w:val="20"/>
          <w:szCs w:val="20"/>
        </w:rPr>
        <w:t>nun örtülü kazanç aktarımına ilişkin hükümleri saklı kalmak kaydıyla Şirket, amaç ve konusuna giren işlerle ilgili olarak yerli ve yabancı gerçek ve tüzel kişilerle sermaye ve ortaklıklarla işbirliği yapmak yeni iştirak ve ortaklıklar kurmak, mevcut ticari işletmelere ortak olmak, yeni şirketlere kurucu sıfatıyla katılmak, know-how ve benzeri anlaşmaları yapmak, lisans, imtiyaz, telif ve ihtira hakkı, ihtira beratı, marka, patent, model, resim, bröve, ticaret unvanı, teknik yardım ve fikri hakların müşavirlik ve benzeri diğer sınai mülkiyet ve gayri maddi her çeşit hakkın iktisap edilmesi, devir ve ferağ edilmesi, bunlar üzerinde lisans anlaşmaları yapılması, bunların kullanılması ve üzerlerinde her çeşit tasarrufta bulunulması.</w:t>
      </w:r>
    </w:p>
    <w:p w:rsidR="003B0955" w:rsidRDefault="003B0955" w:rsidP="00682E5E">
      <w:pPr>
        <w:pStyle w:val="ListeParagraf"/>
        <w:widowControl w:val="0"/>
        <w:numPr>
          <w:ilvl w:val="0"/>
          <w:numId w:val="3"/>
        </w:numPr>
        <w:tabs>
          <w:tab w:val="left" w:pos="381"/>
        </w:tabs>
        <w:autoSpaceDE w:val="0"/>
        <w:autoSpaceDN w:val="0"/>
        <w:spacing w:before="6" w:after="0" w:line="240" w:lineRule="auto"/>
        <w:ind w:right="144" w:firstLine="0"/>
        <w:contextualSpacing w:val="0"/>
        <w:jc w:val="both"/>
        <w:rPr>
          <w:rFonts w:ascii="Arial" w:hAnsi="Arial" w:cs="Arial"/>
          <w:spacing w:val="-2"/>
          <w:sz w:val="20"/>
          <w:szCs w:val="20"/>
        </w:rPr>
      </w:pPr>
      <w:r w:rsidRPr="001D5F84">
        <w:rPr>
          <w:rFonts w:ascii="Arial" w:hAnsi="Arial" w:cs="Arial"/>
          <w:spacing w:val="-2"/>
          <w:sz w:val="20"/>
          <w:szCs w:val="20"/>
        </w:rPr>
        <w:t xml:space="preserve">Şirket faaliyetleri ile sınırlı olmak kaydıyla şirket konusu ile ilgili her çeşit müsaade ve ruhsatnamenin alınması yurt içinde ve yurt dışında faaliyet gösteren gerçek, tüzel ve kamu kişileri ile şirket faaliyet alanına giren konularda her sıfatla kıra, istisna, eser, yayım, komisyon, </w:t>
      </w:r>
      <w:r w:rsidR="00EC375F" w:rsidRPr="001D5F84">
        <w:rPr>
          <w:rFonts w:ascii="Arial" w:hAnsi="Arial" w:cs="Arial"/>
          <w:spacing w:val="-2"/>
          <w:sz w:val="20"/>
          <w:szCs w:val="20"/>
        </w:rPr>
        <w:t>vekâlet</w:t>
      </w:r>
      <w:r w:rsidRPr="001D5F84">
        <w:rPr>
          <w:rFonts w:ascii="Arial" w:hAnsi="Arial" w:cs="Arial"/>
          <w:spacing w:val="-2"/>
          <w:sz w:val="20"/>
          <w:szCs w:val="20"/>
        </w:rPr>
        <w:t>, hizmet, taşıma, emanet, alım satım gibi hukuka ve mevzuata uygun her çeşit sözleşmeyi yapmak.</w:t>
      </w:r>
    </w:p>
    <w:p w:rsidR="006F1D50" w:rsidRPr="006F1D50" w:rsidRDefault="006F1D50" w:rsidP="00682E5E">
      <w:pPr>
        <w:pStyle w:val="ListeParagraf"/>
        <w:widowControl w:val="0"/>
        <w:numPr>
          <w:ilvl w:val="0"/>
          <w:numId w:val="3"/>
        </w:numPr>
        <w:tabs>
          <w:tab w:val="left" w:pos="311"/>
        </w:tabs>
        <w:autoSpaceDE w:val="0"/>
        <w:autoSpaceDN w:val="0"/>
        <w:spacing w:before="75" w:after="0" w:line="240" w:lineRule="auto"/>
        <w:ind w:left="311" w:hanging="211"/>
        <w:contextualSpacing w:val="0"/>
        <w:jc w:val="both"/>
        <w:rPr>
          <w:rFonts w:ascii="Arial" w:hAnsi="Arial" w:cs="Arial"/>
          <w:spacing w:val="-2"/>
          <w:sz w:val="20"/>
          <w:szCs w:val="20"/>
        </w:rPr>
      </w:pPr>
      <w:r w:rsidRPr="006F1D50">
        <w:rPr>
          <w:rFonts w:ascii="Arial" w:hAnsi="Arial" w:cs="Arial"/>
          <w:spacing w:val="-2"/>
          <w:sz w:val="20"/>
          <w:szCs w:val="20"/>
        </w:rPr>
        <w:t>Kurucu olarak katıldığı ve iştirak ettiği mevcut veya kurulacak şirketlerin idare ve teknik organizasyonlarını sağlamak.</w:t>
      </w:r>
    </w:p>
    <w:p w:rsidR="006F1D50" w:rsidRPr="006F1D50" w:rsidRDefault="006F1D50" w:rsidP="00682E5E">
      <w:pPr>
        <w:pStyle w:val="ListeParagraf"/>
        <w:widowControl w:val="0"/>
        <w:numPr>
          <w:ilvl w:val="0"/>
          <w:numId w:val="3"/>
        </w:numPr>
        <w:tabs>
          <w:tab w:val="left" w:pos="380"/>
        </w:tabs>
        <w:autoSpaceDE w:val="0"/>
        <w:autoSpaceDN w:val="0"/>
        <w:spacing w:before="84" w:after="0" w:line="240" w:lineRule="auto"/>
        <w:ind w:right="143" w:firstLine="0"/>
        <w:contextualSpacing w:val="0"/>
        <w:jc w:val="both"/>
        <w:rPr>
          <w:rFonts w:ascii="Arial" w:hAnsi="Arial" w:cs="Arial"/>
          <w:spacing w:val="-2"/>
          <w:sz w:val="20"/>
          <w:szCs w:val="20"/>
        </w:rPr>
      </w:pPr>
      <w:r w:rsidRPr="006F1D50">
        <w:rPr>
          <w:rFonts w:ascii="Arial" w:hAnsi="Arial" w:cs="Arial"/>
          <w:spacing w:val="-2"/>
          <w:sz w:val="20"/>
          <w:szCs w:val="20"/>
        </w:rPr>
        <w:t>SPKn’nun örtülü kazanç aktarımına ilişkin hükümleri saklı kalmak kaydıyla faaliyet konusu ile ilgili yerli ve yabancı şahıs şirketleri, sermaye şirketleri, adi şirket ve gerçek kişilerle yabancı sermayeli şirketler, adi ortaklıklar ve iş ortaklıkları kurmak, kurulmuş ortaklılara katılmak.</w:t>
      </w:r>
    </w:p>
    <w:p w:rsidR="006F1D50" w:rsidRPr="006F1D50" w:rsidRDefault="006F1D50" w:rsidP="00682E5E">
      <w:pPr>
        <w:pStyle w:val="ListeParagraf"/>
        <w:widowControl w:val="0"/>
        <w:numPr>
          <w:ilvl w:val="0"/>
          <w:numId w:val="3"/>
        </w:numPr>
        <w:tabs>
          <w:tab w:val="left" w:pos="512"/>
        </w:tabs>
        <w:autoSpaceDE w:val="0"/>
        <w:autoSpaceDN w:val="0"/>
        <w:spacing w:before="2" w:after="0" w:line="240" w:lineRule="auto"/>
        <w:ind w:left="512" w:hanging="412"/>
        <w:contextualSpacing w:val="0"/>
        <w:jc w:val="both"/>
        <w:rPr>
          <w:rFonts w:ascii="Arial" w:hAnsi="Arial" w:cs="Arial"/>
          <w:spacing w:val="-2"/>
          <w:sz w:val="20"/>
          <w:szCs w:val="20"/>
        </w:rPr>
      </w:pPr>
      <w:r w:rsidRPr="006F1D50">
        <w:rPr>
          <w:rFonts w:ascii="Arial" w:hAnsi="Arial" w:cs="Arial"/>
          <w:spacing w:val="-2"/>
          <w:sz w:val="20"/>
          <w:szCs w:val="20"/>
        </w:rPr>
        <w:t>Faaliyet konularına giren sınai ve ticari yatırımlarda bulunmak,</w:t>
      </w:r>
    </w:p>
    <w:p w:rsidR="006F1D50" w:rsidRDefault="006F1D50" w:rsidP="00682E5E">
      <w:pPr>
        <w:pStyle w:val="ListeParagraf"/>
        <w:widowControl w:val="0"/>
        <w:numPr>
          <w:ilvl w:val="0"/>
          <w:numId w:val="3"/>
        </w:numPr>
        <w:tabs>
          <w:tab w:val="left" w:pos="526"/>
        </w:tabs>
        <w:autoSpaceDE w:val="0"/>
        <w:autoSpaceDN w:val="0"/>
        <w:spacing w:before="84" w:after="0" w:line="240" w:lineRule="auto"/>
        <w:ind w:right="140" w:firstLine="0"/>
        <w:contextualSpacing w:val="0"/>
        <w:jc w:val="both"/>
        <w:rPr>
          <w:rFonts w:ascii="Arial" w:hAnsi="Arial" w:cs="Arial"/>
          <w:spacing w:val="-2"/>
          <w:sz w:val="20"/>
          <w:szCs w:val="20"/>
        </w:rPr>
      </w:pPr>
      <w:r w:rsidRPr="006F1D50">
        <w:rPr>
          <w:rFonts w:ascii="Arial" w:hAnsi="Arial" w:cs="Arial"/>
          <w:spacing w:val="-2"/>
          <w:sz w:val="20"/>
          <w:szCs w:val="20"/>
        </w:rPr>
        <w:t>Şirket konusu ile ilgili olarak her türlü menkul ve gayrimenkulleri iktisap edebilir, kiralayabilir, kiraya verebilir, satabilir, sahibi bulunduğu menkul ve gayrimenkulleri üzerinde şirket lehine ipotek tesis ve tescil edebilir veya bunlar üzerinde her türlü hakları iktisap edebilir, sahibi bulunduğu veya diğer kişi ve kuruluşlara ait menkul ve gayrimenkulleri ipotek verebilir, teminat olarak gösterebilir ve alacaklarına karşılık da menkul ve gayrimenkulleri ipotek alabilir, verebilir ve bu ipotekleri fek edebilir. Şirket sahibi bulunduğu menkul ve gayrimenkulleri üçüncü şahıslar lehine ipotek olarak verebilir, teminat olarak gösterebilir, kefil olabilir ve bu ipotekleri fek edebilir.</w:t>
      </w:r>
    </w:p>
    <w:p w:rsidR="00123005" w:rsidRPr="006F1D50" w:rsidRDefault="00123005" w:rsidP="00123005">
      <w:pPr>
        <w:pStyle w:val="ListeParagraf"/>
        <w:widowControl w:val="0"/>
        <w:tabs>
          <w:tab w:val="left" w:pos="526"/>
        </w:tabs>
        <w:autoSpaceDE w:val="0"/>
        <w:autoSpaceDN w:val="0"/>
        <w:spacing w:before="84" w:after="0" w:line="240" w:lineRule="auto"/>
        <w:ind w:left="100" w:right="140"/>
        <w:contextualSpacing w:val="0"/>
        <w:jc w:val="both"/>
        <w:rPr>
          <w:rFonts w:ascii="Arial" w:hAnsi="Arial" w:cs="Arial"/>
          <w:spacing w:val="-2"/>
          <w:sz w:val="20"/>
          <w:szCs w:val="20"/>
        </w:rPr>
      </w:pPr>
    </w:p>
    <w:p w:rsidR="006F1D50" w:rsidRDefault="006F1D50" w:rsidP="00682E5E">
      <w:pPr>
        <w:pStyle w:val="GvdeMetni"/>
        <w:spacing w:before="5"/>
        <w:ind w:left="100" w:right="139"/>
        <w:jc w:val="both"/>
        <w:rPr>
          <w:rFonts w:eastAsiaTheme="minorHAnsi"/>
          <w:spacing w:val="-2"/>
          <w:sz w:val="20"/>
          <w:szCs w:val="20"/>
        </w:rPr>
      </w:pPr>
      <w:r w:rsidRPr="006F1D50">
        <w:rPr>
          <w:rFonts w:eastAsiaTheme="minorHAnsi"/>
          <w:spacing w:val="-2"/>
          <w:sz w:val="20"/>
          <w:szCs w:val="20"/>
        </w:rPr>
        <w:t xml:space="preserve">Şirket’in kendi adına ve 3. kişiler lehine, garanti, kefalet, teminat vermesi veya ipotek </w:t>
      </w:r>
      <w:r w:rsidR="00EC375F" w:rsidRPr="006F1D50">
        <w:rPr>
          <w:rFonts w:eastAsiaTheme="minorHAnsi"/>
          <w:spacing w:val="-2"/>
          <w:sz w:val="20"/>
          <w:szCs w:val="20"/>
        </w:rPr>
        <w:t>dâhil</w:t>
      </w:r>
      <w:r w:rsidRPr="006F1D50">
        <w:rPr>
          <w:rFonts w:eastAsiaTheme="minorHAnsi"/>
          <w:spacing w:val="-2"/>
          <w:sz w:val="20"/>
          <w:szCs w:val="20"/>
        </w:rPr>
        <w:t xml:space="preserve"> rehin hakkı tesis etmesi hususlarında sermaye piyasası mevzuatı çerçevesinde belirlenen esaslara uyulur.</w:t>
      </w:r>
    </w:p>
    <w:p w:rsidR="00123005" w:rsidRPr="006F1D50" w:rsidRDefault="00123005" w:rsidP="00682E5E">
      <w:pPr>
        <w:pStyle w:val="GvdeMetni"/>
        <w:spacing w:before="5"/>
        <w:ind w:left="100" w:right="139"/>
        <w:jc w:val="both"/>
        <w:rPr>
          <w:rFonts w:eastAsiaTheme="minorHAnsi"/>
          <w:spacing w:val="-2"/>
          <w:sz w:val="20"/>
          <w:szCs w:val="20"/>
        </w:rPr>
      </w:pPr>
    </w:p>
    <w:p w:rsidR="006F1D50" w:rsidRPr="006F1D50" w:rsidRDefault="006F1D50" w:rsidP="00682E5E">
      <w:pPr>
        <w:pStyle w:val="GvdeMetni"/>
        <w:spacing w:before="2"/>
        <w:ind w:left="100"/>
        <w:jc w:val="both"/>
        <w:rPr>
          <w:rFonts w:eastAsiaTheme="minorHAnsi"/>
          <w:spacing w:val="-2"/>
          <w:sz w:val="20"/>
          <w:szCs w:val="20"/>
        </w:rPr>
      </w:pPr>
      <w:r w:rsidRPr="006F1D50">
        <w:rPr>
          <w:rFonts w:eastAsiaTheme="minorHAnsi"/>
          <w:spacing w:val="-2"/>
          <w:sz w:val="20"/>
          <w:szCs w:val="20"/>
        </w:rPr>
        <w:t>Bu madde kapsamında Şirket tarafından gerçekleştirilen iş, işlem ve faaliyetler bakımından, sermaye piyasası mevzuatının örtülü kazanç aktarımına ilişkin hükümleri saklıdır.</w:t>
      </w:r>
    </w:p>
    <w:p w:rsidR="006F1D50" w:rsidRDefault="006F1D50" w:rsidP="00682E5E">
      <w:pPr>
        <w:pStyle w:val="GvdeMetni"/>
        <w:spacing w:before="84"/>
        <w:ind w:left="100" w:right="141"/>
        <w:jc w:val="both"/>
        <w:rPr>
          <w:rFonts w:eastAsiaTheme="minorHAnsi"/>
          <w:spacing w:val="-2"/>
          <w:sz w:val="20"/>
          <w:szCs w:val="20"/>
        </w:rPr>
      </w:pPr>
      <w:r w:rsidRPr="006F1D50">
        <w:rPr>
          <w:rFonts w:eastAsiaTheme="minorHAnsi"/>
          <w:spacing w:val="-2"/>
          <w:sz w:val="20"/>
          <w:szCs w:val="20"/>
        </w:rPr>
        <w:t>Bu madde kapsamında Şirket tarafından gerçekleştirilen iş, işlem ve faaliyetler bakımından, gerekli hallerde yatırımcıların aydınlatılmasını teminen sermaye piyasası mevzuatı ve ilgili diğer mevzuat uyarınca yapılması zorunlu olan açıklamalar yapılacaktır.</w:t>
      </w:r>
    </w:p>
    <w:p w:rsidR="00123005" w:rsidRPr="006F1D50" w:rsidRDefault="00123005" w:rsidP="00682E5E">
      <w:pPr>
        <w:pStyle w:val="GvdeMetni"/>
        <w:spacing w:before="84"/>
        <w:ind w:left="100" w:right="141"/>
        <w:jc w:val="both"/>
        <w:rPr>
          <w:rFonts w:eastAsiaTheme="minorHAnsi"/>
          <w:spacing w:val="-2"/>
          <w:sz w:val="20"/>
          <w:szCs w:val="20"/>
        </w:rPr>
      </w:pPr>
    </w:p>
    <w:p w:rsidR="006F1D50" w:rsidRDefault="006F1D50" w:rsidP="00682E5E">
      <w:pPr>
        <w:pStyle w:val="GvdeMetni"/>
        <w:spacing w:before="3"/>
        <w:ind w:left="100" w:right="134"/>
        <w:jc w:val="both"/>
        <w:rPr>
          <w:rFonts w:eastAsiaTheme="minorHAnsi"/>
          <w:spacing w:val="-2"/>
          <w:sz w:val="20"/>
          <w:szCs w:val="20"/>
        </w:rPr>
      </w:pPr>
      <w:r w:rsidRPr="006F1D50">
        <w:rPr>
          <w:rFonts w:eastAsiaTheme="minorHAnsi"/>
          <w:spacing w:val="-2"/>
          <w:sz w:val="20"/>
          <w:szCs w:val="20"/>
        </w:rPr>
        <w:t>Bu madde kapsamında Şirket tarafından gerçekleştirilen iş, işlem ve faaliyetler bakımından, Kurumsal Yönetim İlkelerinin uygulanması bakımından önemli nitelikte sayılan işlemlerde ve Şirket’in ilişkili taraf işlemlerinde ve üçüncü kişiler lehine teminat, rehin ve ipotek verilmesine ilişkin işlemlerde SPK’nın kurumsal yönetime ilişkin düzenlemelerine uyulur.</w:t>
      </w:r>
    </w:p>
    <w:p w:rsidR="00123005" w:rsidRPr="006F1D50" w:rsidRDefault="00123005" w:rsidP="00682E5E">
      <w:pPr>
        <w:pStyle w:val="GvdeMetni"/>
        <w:spacing w:before="3"/>
        <w:ind w:left="100" w:right="134"/>
        <w:jc w:val="both"/>
        <w:rPr>
          <w:rFonts w:eastAsiaTheme="minorHAnsi"/>
          <w:spacing w:val="-2"/>
          <w:sz w:val="20"/>
          <w:szCs w:val="20"/>
        </w:rPr>
      </w:pPr>
    </w:p>
    <w:p w:rsidR="006F1D50" w:rsidRDefault="006F1D50" w:rsidP="00682E5E">
      <w:pPr>
        <w:pStyle w:val="GvdeMetni"/>
        <w:spacing w:before="4"/>
        <w:ind w:left="100" w:right="133"/>
        <w:jc w:val="both"/>
        <w:rPr>
          <w:rFonts w:eastAsiaTheme="minorHAnsi"/>
          <w:spacing w:val="-2"/>
          <w:sz w:val="20"/>
          <w:szCs w:val="20"/>
        </w:rPr>
      </w:pPr>
      <w:r w:rsidRPr="006F1D50">
        <w:rPr>
          <w:rFonts w:eastAsiaTheme="minorHAnsi"/>
          <w:spacing w:val="-2"/>
          <w:sz w:val="20"/>
          <w:szCs w:val="20"/>
        </w:rPr>
        <w:t xml:space="preserve">Şirket, yukarıda belirtilenlerin yanında Şirket için gerekli ve yararlı görüldüğünde Esas Sözleşme değişikliği için SPK’nın uygun görüşü ve Ticaret Bakanlığı’nın izninin alınması koşuluyla, Yönetim Kurulu’nun teklifi üzerine keyfiyet Genel Kurul’un onayına sunulduktan ve bu yönde karar alındıktan </w:t>
      </w:r>
      <w:r w:rsidR="00EC375F" w:rsidRPr="006F1D50">
        <w:rPr>
          <w:rFonts w:eastAsiaTheme="minorHAnsi"/>
          <w:spacing w:val="-2"/>
          <w:sz w:val="20"/>
          <w:szCs w:val="20"/>
        </w:rPr>
        <w:t xml:space="preserve">sonra </w:t>
      </w:r>
      <w:r w:rsidR="00EC375F">
        <w:rPr>
          <w:rFonts w:eastAsiaTheme="minorHAnsi"/>
          <w:spacing w:val="-2"/>
          <w:sz w:val="20"/>
          <w:szCs w:val="20"/>
        </w:rPr>
        <w:t>başka</w:t>
      </w:r>
      <w:r w:rsidRPr="006F1D50">
        <w:rPr>
          <w:rFonts w:eastAsiaTheme="minorHAnsi"/>
          <w:spacing w:val="-2"/>
          <w:sz w:val="20"/>
          <w:szCs w:val="20"/>
        </w:rPr>
        <w:t xml:space="preserve"> faaliyetleri de yürütebilir, kanunen yasaklanmamış diğer her türlü işlere girişebilir, her türlü iş ve işlemi yapabilir ve ekonomik amaç ve faaliyette bulunabilir.</w:t>
      </w:r>
    </w:p>
    <w:p w:rsidR="006F1D50" w:rsidRDefault="006F1D50" w:rsidP="00682E5E">
      <w:pPr>
        <w:pStyle w:val="GvdeMetni"/>
        <w:spacing w:before="4"/>
        <w:ind w:left="100" w:right="133"/>
        <w:jc w:val="both"/>
        <w:rPr>
          <w:rFonts w:eastAsiaTheme="minorHAnsi"/>
          <w:spacing w:val="-2"/>
          <w:sz w:val="20"/>
          <w:szCs w:val="20"/>
        </w:rPr>
      </w:pPr>
    </w:p>
    <w:p w:rsidR="00F109B6" w:rsidRPr="00F109B6" w:rsidRDefault="00F109B6" w:rsidP="00682E5E">
      <w:pPr>
        <w:spacing w:line="240" w:lineRule="auto"/>
        <w:rPr>
          <w:rFonts w:ascii="Arial" w:hAnsi="Arial" w:cs="Arial"/>
          <w:b/>
          <w:bCs/>
          <w:sz w:val="20"/>
          <w:szCs w:val="20"/>
        </w:rPr>
      </w:pPr>
      <w:r w:rsidRPr="00F109B6">
        <w:rPr>
          <w:rFonts w:ascii="Arial" w:hAnsi="Arial" w:cs="Arial"/>
          <w:b/>
          <w:bCs/>
          <w:sz w:val="20"/>
          <w:szCs w:val="20"/>
        </w:rPr>
        <w:t>Madde 4:</w:t>
      </w:r>
    </w:p>
    <w:p w:rsidR="006F1D50" w:rsidRDefault="006F1D50" w:rsidP="00682E5E">
      <w:pPr>
        <w:spacing w:line="240" w:lineRule="auto"/>
        <w:rPr>
          <w:rFonts w:ascii="Arial" w:hAnsi="Arial" w:cs="Arial"/>
          <w:b/>
          <w:bCs/>
          <w:sz w:val="20"/>
          <w:szCs w:val="20"/>
        </w:rPr>
      </w:pPr>
      <w:r w:rsidRPr="006F1D50">
        <w:rPr>
          <w:rFonts w:ascii="Arial" w:hAnsi="Arial" w:cs="Arial"/>
          <w:b/>
          <w:bCs/>
          <w:sz w:val="20"/>
          <w:szCs w:val="20"/>
        </w:rPr>
        <w:t xml:space="preserve">ŞİRKETİN </w:t>
      </w:r>
      <w:r>
        <w:rPr>
          <w:rFonts w:ascii="Arial" w:hAnsi="Arial" w:cs="Arial"/>
          <w:b/>
          <w:bCs/>
          <w:sz w:val="20"/>
          <w:szCs w:val="20"/>
        </w:rPr>
        <w:t>MERKEZİ VE ŞUBELERİ</w:t>
      </w:r>
    </w:p>
    <w:p w:rsidR="006F1D50" w:rsidRPr="003F0741" w:rsidRDefault="006F1D50" w:rsidP="003F0741">
      <w:pPr>
        <w:pStyle w:val="GvdeMetni"/>
        <w:spacing w:before="84"/>
        <w:ind w:left="100" w:right="141"/>
        <w:jc w:val="both"/>
        <w:rPr>
          <w:rFonts w:eastAsiaTheme="minorHAnsi"/>
          <w:spacing w:val="-2"/>
          <w:sz w:val="20"/>
          <w:szCs w:val="20"/>
        </w:rPr>
      </w:pPr>
      <w:r w:rsidRPr="003F0741">
        <w:rPr>
          <w:rFonts w:eastAsiaTheme="minorHAnsi"/>
          <w:spacing w:val="-2"/>
          <w:sz w:val="20"/>
          <w:szCs w:val="20"/>
        </w:rPr>
        <w:t xml:space="preserve">Şirketin merkezi ANKARA ili ÇANKAYA </w:t>
      </w:r>
      <w:r w:rsidR="00EC375F" w:rsidRPr="003F0741">
        <w:rPr>
          <w:rFonts w:eastAsiaTheme="minorHAnsi"/>
          <w:spacing w:val="-2"/>
          <w:sz w:val="20"/>
          <w:szCs w:val="20"/>
        </w:rPr>
        <w:t>İlçesi’dir</w:t>
      </w:r>
      <w:r w:rsidR="00F109B6" w:rsidRPr="003F0741">
        <w:rPr>
          <w:rFonts w:eastAsiaTheme="minorHAnsi"/>
          <w:spacing w:val="-2"/>
          <w:sz w:val="20"/>
          <w:szCs w:val="20"/>
        </w:rPr>
        <w:t>.</w:t>
      </w:r>
    </w:p>
    <w:p w:rsidR="006F1D50" w:rsidRPr="003F0741" w:rsidRDefault="006F1D50" w:rsidP="003F0741">
      <w:pPr>
        <w:pStyle w:val="GvdeMetni"/>
        <w:spacing w:before="84"/>
        <w:ind w:left="100" w:right="141"/>
        <w:jc w:val="both"/>
        <w:rPr>
          <w:rFonts w:eastAsiaTheme="minorHAnsi"/>
          <w:spacing w:val="-2"/>
          <w:sz w:val="20"/>
          <w:szCs w:val="20"/>
        </w:rPr>
      </w:pPr>
      <w:r w:rsidRPr="003F0741">
        <w:rPr>
          <w:rFonts w:eastAsiaTheme="minorHAnsi"/>
          <w:spacing w:val="-2"/>
          <w:sz w:val="20"/>
          <w:szCs w:val="20"/>
        </w:rPr>
        <w:t>Adresi MUSTAFA KEMAL MAHALLESİ DUMLUPINAR BLV. B BLOK Apt. NO: 274 /7/67 ÇANKAYA/ANKARA 'dir.</w:t>
      </w:r>
    </w:p>
    <w:p w:rsidR="006F1D50" w:rsidRPr="00F109B6" w:rsidRDefault="006F1D50" w:rsidP="003F0741">
      <w:pPr>
        <w:pStyle w:val="GvdeMetni"/>
        <w:spacing w:before="84"/>
        <w:ind w:left="100" w:right="141"/>
        <w:jc w:val="both"/>
        <w:rPr>
          <w:rFonts w:eastAsiaTheme="minorHAnsi"/>
          <w:spacing w:val="-2"/>
          <w:sz w:val="20"/>
          <w:szCs w:val="20"/>
        </w:rPr>
      </w:pPr>
      <w:r w:rsidRPr="00F109B6">
        <w:rPr>
          <w:rFonts w:eastAsiaTheme="minorHAnsi"/>
          <w:spacing w:val="-2"/>
          <w:sz w:val="20"/>
          <w:szCs w:val="20"/>
        </w:rPr>
        <w:t>Adres değişikliğinde yeni adres, Ticaret Siciline tescil ve Türkiye Ticaret Sicil Gazetesi’nde ilan ettirilir ve ayrıca SPK’ya ve Ticaret Bakanlığı’na bildirilir.</w:t>
      </w:r>
    </w:p>
    <w:p w:rsidR="006F1D50" w:rsidRDefault="006F1D50" w:rsidP="003F0741">
      <w:pPr>
        <w:pStyle w:val="GvdeMetni"/>
        <w:spacing w:before="84"/>
        <w:ind w:left="100" w:right="141"/>
        <w:jc w:val="both"/>
        <w:rPr>
          <w:rFonts w:eastAsiaTheme="minorHAnsi"/>
          <w:spacing w:val="-2"/>
          <w:sz w:val="20"/>
          <w:szCs w:val="20"/>
        </w:rPr>
      </w:pPr>
      <w:r w:rsidRPr="00F109B6">
        <w:rPr>
          <w:rFonts w:eastAsiaTheme="minorHAnsi"/>
          <w:spacing w:val="-2"/>
          <w:sz w:val="20"/>
          <w:szCs w:val="20"/>
        </w:rPr>
        <w:t>Şirket gerekli olması halinde ilgili kamu kurum ve kuruluşlarına bilgi vermek, ilgili mevzuata ve kamuyu aydınlatma yükümlülüklerine uygun olmak kaydı ile yurt içinde ve yurt dışında şubeler, temsilcilikler, irtibat ofisleri, yazışma ofisleri ve bürolar kurabilir.</w:t>
      </w:r>
    </w:p>
    <w:p w:rsidR="00F109B6" w:rsidRDefault="00F109B6" w:rsidP="00682E5E">
      <w:pPr>
        <w:pStyle w:val="GvdeMetni"/>
        <w:spacing w:before="84"/>
        <w:ind w:left="100" w:right="139"/>
        <w:jc w:val="both"/>
        <w:rPr>
          <w:rFonts w:eastAsiaTheme="minorHAnsi"/>
          <w:spacing w:val="-2"/>
          <w:sz w:val="20"/>
          <w:szCs w:val="20"/>
        </w:rPr>
      </w:pPr>
    </w:p>
    <w:p w:rsidR="00123005" w:rsidRDefault="00123005" w:rsidP="00682E5E">
      <w:pPr>
        <w:pStyle w:val="GvdeMetni"/>
        <w:spacing w:before="84"/>
        <w:ind w:left="100" w:right="139"/>
        <w:jc w:val="both"/>
        <w:rPr>
          <w:rFonts w:eastAsiaTheme="minorHAnsi"/>
          <w:spacing w:val="-2"/>
          <w:sz w:val="20"/>
          <w:szCs w:val="20"/>
        </w:rPr>
      </w:pPr>
    </w:p>
    <w:p w:rsidR="00F109B6" w:rsidRPr="00F109B6" w:rsidRDefault="00F109B6" w:rsidP="00682E5E">
      <w:pPr>
        <w:spacing w:line="240" w:lineRule="auto"/>
        <w:rPr>
          <w:rFonts w:ascii="Arial" w:hAnsi="Arial" w:cs="Arial"/>
          <w:b/>
          <w:bCs/>
          <w:sz w:val="20"/>
          <w:szCs w:val="20"/>
        </w:rPr>
      </w:pPr>
      <w:r w:rsidRPr="00F109B6">
        <w:rPr>
          <w:rFonts w:ascii="Arial" w:hAnsi="Arial" w:cs="Arial"/>
          <w:b/>
          <w:bCs/>
          <w:sz w:val="20"/>
          <w:szCs w:val="20"/>
        </w:rPr>
        <w:t>Madde 5:</w:t>
      </w:r>
    </w:p>
    <w:p w:rsidR="00F109B6" w:rsidRDefault="00F109B6" w:rsidP="00682E5E">
      <w:pPr>
        <w:spacing w:line="240" w:lineRule="auto"/>
        <w:rPr>
          <w:rFonts w:ascii="Arial" w:hAnsi="Arial" w:cs="Arial"/>
          <w:b/>
          <w:bCs/>
          <w:sz w:val="20"/>
          <w:szCs w:val="20"/>
        </w:rPr>
      </w:pPr>
      <w:r w:rsidRPr="00F109B6">
        <w:rPr>
          <w:rFonts w:ascii="Arial" w:hAnsi="Arial" w:cs="Arial"/>
          <w:b/>
          <w:bCs/>
          <w:sz w:val="20"/>
          <w:szCs w:val="20"/>
        </w:rPr>
        <w:t>ŞİRKET’İN SÜRESİ</w:t>
      </w:r>
    </w:p>
    <w:p w:rsidR="00F109B6" w:rsidRPr="00EC375F" w:rsidRDefault="00F109B6" w:rsidP="00682E5E">
      <w:pPr>
        <w:pStyle w:val="GvdeMetni"/>
        <w:spacing w:before="84"/>
        <w:ind w:left="100"/>
        <w:jc w:val="both"/>
        <w:rPr>
          <w:rFonts w:eastAsiaTheme="minorHAnsi"/>
          <w:spacing w:val="-2"/>
          <w:sz w:val="20"/>
          <w:szCs w:val="20"/>
        </w:rPr>
      </w:pPr>
      <w:r w:rsidRPr="00EC375F">
        <w:rPr>
          <w:rFonts w:eastAsiaTheme="minorHAnsi"/>
          <w:spacing w:val="-2"/>
          <w:sz w:val="20"/>
          <w:szCs w:val="20"/>
        </w:rPr>
        <w:t>Şirketin süresi sınırsızdır.</w:t>
      </w:r>
    </w:p>
    <w:p w:rsidR="00F109B6" w:rsidRDefault="00F109B6" w:rsidP="00682E5E">
      <w:pPr>
        <w:pStyle w:val="GvdeMetni"/>
        <w:spacing w:before="93"/>
        <w:ind w:left="100"/>
        <w:jc w:val="both"/>
        <w:rPr>
          <w:spacing w:val="-2"/>
        </w:rPr>
      </w:pPr>
    </w:p>
    <w:p w:rsidR="00F109B6" w:rsidRPr="00F109B6" w:rsidRDefault="00F109B6" w:rsidP="00682E5E">
      <w:pPr>
        <w:spacing w:line="240" w:lineRule="auto"/>
        <w:rPr>
          <w:rFonts w:ascii="Arial" w:hAnsi="Arial" w:cs="Arial"/>
          <w:b/>
          <w:bCs/>
          <w:sz w:val="20"/>
          <w:szCs w:val="20"/>
        </w:rPr>
      </w:pPr>
      <w:r w:rsidRPr="00F109B6">
        <w:rPr>
          <w:rFonts w:ascii="Arial" w:hAnsi="Arial" w:cs="Arial"/>
          <w:b/>
          <w:bCs/>
          <w:sz w:val="20"/>
          <w:szCs w:val="20"/>
        </w:rPr>
        <w:t>Madde 6:</w:t>
      </w:r>
    </w:p>
    <w:p w:rsidR="00F109B6" w:rsidRDefault="00F109B6" w:rsidP="00682E5E">
      <w:pPr>
        <w:spacing w:line="240" w:lineRule="auto"/>
        <w:rPr>
          <w:rFonts w:ascii="Arial" w:hAnsi="Arial" w:cs="Arial"/>
          <w:b/>
          <w:bCs/>
          <w:sz w:val="20"/>
          <w:szCs w:val="20"/>
        </w:rPr>
      </w:pPr>
      <w:r w:rsidRPr="00F109B6">
        <w:rPr>
          <w:rFonts w:ascii="Arial" w:hAnsi="Arial" w:cs="Arial"/>
          <w:b/>
          <w:bCs/>
          <w:sz w:val="20"/>
          <w:szCs w:val="20"/>
        </w:rPr>
        <w:t xml:space="preserve">SERMAYE </w:t>
      </w:r>
    </w:p>
    <w:p w:rsidR="00F109B6" w:rsidRPr="00F109B6" w:rsidRDefault="00F109B6" w:rsidP="00682E5E">
      <w:pPr>
        <w:pStyle w:val="GvdeMetni"/>
        <w:spacing w:before="84"/>
        <w:ind w:left="100"/>
        <w:rPr>
          <w:rFonts w:eastAsiaTheme="minorHAnsi"/>
          <w:spacing w:val="-2"/>
          <w:sz w:val="20"/>
          <w:szCs w:val="20"/>
        </w:rPr>
      </w:pPr>
      <w:r w:rsidRPr="00F109B6">
        <w:rPr>
          <w:rFonts w:eastAsiaTheme="minorHAnsi"/>
          <w:spacing w:val="-2"/>
          <w:sz w:val="20"/>
          <w:szCs w:val="20"/>
        </w:rPr>
        <w:t>Şirket, SPKn hükümlerine göre kayıtlı sermaye sistemini kabul etmiş ve SPK’nın 19.09.2024 tarih ve 54/1455 sayılı izni ile kayıtlı sermaye sistemine geçmiştir.</w:t>
      </w:r>
    </w:p>
    <w:p w:rsidR="00F109B6" w:rsidRDefault="00F109B6" w:rsidP="00682E5E">
      <w:pPr>
        <w:pStyle w:val="GvdeMetni"/>
        <w:spacing w:before="84"/>
        <w:ind w:left="100" w:right="120"/>
        <w:jc w:val="both"/>
        <w:rPr>
          <w:rFonts w:eastAsiaTheme="minorHAnsi"/>
          <w:spacing w:val="-2"/>
          <w:sz w:val="20"/>
          <w:szCs w:val="20"/>
        </w:rPr>
      </w:pPr>
      <w:r w:rsidRPr="00F109B6">
        <w:rPr>
          <w:rFonts w:eastAsiaTheme="minorHAnsi"/>
          <w:spacing w:val="-2"/>
          <w:sz w:val="20"/>
          <w:szCs w:val="20"/>
        </w:rPr>
        <w:t>Şirket’in kayıtlı sermaye tavanı 2.500.000.000 TL (ikimilyarbeşyüzmilyonTürkLirası) olup her biri 1 TL (bir TürkLirası) itibari değerde 2.500.000.000 TL (ikimilyarbeşyüzmilyonTürkLirası) adet paya ayrılmıştır.</w:t>
      </w:r>
    </w:p>
    <w:p w:rsidR="00123005" w:rsidRDefault="00123005" w:rsidP="00682E5E">
      <w:pPr>
        <w:pStyle w:val="GvdeMetni"/>
        <w:spacing w:before="84"/>
        <w:ind w:left="100" w:right="120"/>
        <w:jc w:val="both"/>
        <w:rPr>
          <w:rFonts w:eastAsiaTheme="minorHAnsi"/>
          <w:spacing w:val="-2"/>
          <w:sz w:val="20"/>
          <w:szCs w:val="20"/>
        </w:rPr>
      </w:pPr>
    </w:p>
    <w:p w:rsidR="00F109B6" w:rsidRDefault="00F109B6" w:rsidP="00682E5E">
      <w:pPr>
        <w:pStyle w:val="GvdeMetni"/>
        <w:spacing w:before="3"/>
        <w:ind w:left="100" w:right="140"/>
        <w:jc w:val="both"/>
        <w:rPr>
          <w:rFonts w:eastAsiaTheme="minorHAnsi"/>
          <w:spacing w:val="-2"/>
          <w:sz w:val="20"/>
          <w:szCs w:val="20"/>
        </w:rPr>
      </w:pPr>
      <w:r w:rsidRPr="00EC375F">
        <w:rPr>
          <w:rFonts w:eastAsiaTheme="minorHAnsi"/>
          <w:spacing w:val="-2"/>
          <w:sz w:val="20"/>
          <w:szCs w:val="20"/>
        </w:rPr>
        <w:t>SPK tarafından verilen kayıtlı sermaye tavanı izni, 2024-2028 yılları (5 yıl) için geçerlidir. 2028 yılı sonunda izin verilen kayıtlı sermaye tavanına ulaşılamamış olsa dahi, izin verilen tavan ya da yeni bir tavan tutarı için, SPK’dan izin almak suretiyle, Genel Kurul’dan 5 (beş) yılı geçmemek üzere yeni bir süre için yetki alınması zorunludur. Söz konusu yetkinin alınmaması durumunda Yönetim Kurulu kararıyla sermaye artırımı yapılamaz.</w:t>
      </w:r>
    </w:p>
    <w:p w:rsidR="00123005" w:rsidRPr="00EC375F" w:rsidRDefault="00123005" w:rsidP="00682E5E">
      <w:pPr>
        <w:pStyle w:val="GvdeMetni"/>
        <w:spacing w:before="3"/>
        <w:ind w:left="100" w:right="140"/>
        <w:jc w:val="both"/>
        <w:rPr>
          <w:rFonts w:eastAsiaTheme="minorHAnsi"/>
          <w:spacing w:val="-2"/>
          <w:sz w:val="20"/>
          <w:szCs w:val="20"/>
        </w:rPr>
      </w:pPr>
    </w:p>
    <w:p w:rsidR="00F109B6" w:rsidRDefault="00F109B6" w:rsidP="00682E5E">
      <w:pPr>
        <w:pStyle w:val="GvdeMetni"/>
        <w:spacing w:before="3"/>
        <w:ind w:left="100" w:right="138"/>
        <w:jc w:val="both"/>
        <w:rPr>
          <w:rFonts w:eastAsiaTheme="minorHAnsi"/>
          <w:spacing w:val="-2"/>
          <w:sz w:val="20"/>
          <w:szCs w:val="20"/>
        </w:rPr>
      </w:pPr>
      <w:r w:rsidRPr="00EC375F">
        <w:rPr>
          <w:rFonts w:eastAsiaTheme="minorHAnsi"/>
          <w:spacing w:val="-2"/>
          <w:sz w:val="20"/>
          <w:szCs w:val="20"/>
        </w:rPr>
        <w:t>Şirket’in çıkarılmış sermayesi 529.354.723 TL olup tamamı muvazaadan ari bir şekilde ödenmiştir. Şirket’in çıkarılmış sermayesi, her biri 1 TL değerinde 132.338.681 adet nama yazılı A Grubu, her biri 1 TL değerinde 397.016.042 adet nama yazılı B Grubu paya ayrılmış toplam 529.354.723 TL değerindedir. A Grubu nama yazılı payların Yönetim Kurulu’na aday gösterme ve Genel Kurul’da oy imtiyazı bulunmaktadır. B Grubu nama yazılı payların hiçbir imtiyazı yoktur. İmtiyazlı payların sahip olduğu imtiyazlar Esas Sözleşme’nin ilgili yerlerinde belirtilmiştir.</w:t>
      </w:r>
    </w:p>
    <w:p w:rsidR="00123005" w:rsidRPr="00EC375F" w:rsidRDefault="00123005" w:rsidP="00682E5E">
      <w:pPr>
        <w:pStyle w:val="GvdeMetni"/>
        <w:spacing w:before="3"/>
        <w:ind w:left="100" w:right="138"/>
        <w:jc w:val="both"/>
        <w:rPr>
          <w:rFonts w:eastAsiaTheme="minorHAnsi"/>
          <w:spacing w:val="-2"/>
          <w:sz w:val="20"/>
          <w:szCs w:val="20"/>
        </w:rPr>
      </w:pPr>
    </w:p>
    <w:p w:rsidR="00F109B6" w:rsidRDefault="00F109B6" w:rsidP="00682E5E">
      <w:pPr>
        <w:pStyle w:val="GvdeMetni"/>
        <w:spacing w:before="5"/>
        <w:ind w:left="100"/>
        <w:jc w:val="both"/>
        <w:rPr>
          <w:rFonts w:eastAsiaTheme="minorHAnsi"/>
          <w:spacing w:val="-2"/>
          <w:sz w:val="20"/>
          <w:szCs w:val="20"/>
        </w:rPr>
      </w:pPr>
      <w:r w:rsidRPr="00EC375F">
        <w:rPr>
          <w:rFonts w:eastAsiaTheme="minorHAnsi"/>
          <w:spacing w:val="-2"/>
          <w:sz w:val="20"/>
          <w:szCs w:val="20"/>
        </w:rPr>
        <w:t>Şirket’in sermayesi, gerektiğinde TTK ve sermaye piyasası mevzuatı hükümleri çerçevesinde artırılabilir veya azaltılabilir.</w:t>
      </w:r>
    </w:p>
    <w:p w:rsidR="00123005" w:rsidRPr="00EC375F" w:rsidRDefault="00123005" w:rsidP="00682E5E">
      <w:pPr>
        <w:pStyle w:val="GvdeMetni"/>
        <w:spacing w:before="5"/>
        <w:ind w:left="100"/>
        <w:jc w:val="both"/>
        <w:rPr>
          <w:rFonts w:eastAsiaTheme="minorHAnsi"/>
          <w:spacing w:val="-2"/>
          <w:sz w:val="20"/>
          <w:szCs w:val="20"/>
        </w:rPr>
      </w:pPr>
    </w:p>
    <w:p w:rsidR="00F109B6" w:rsidRDefault="00F109B6" w:rsidP="00682E5E">
      <w:pPr>
        <w:pStyle w:val="GvdeMetni"/>
        <w:spacing w:before="84"/>
        <w:ind w:left="100" w:right="139"/>
        <w:jc w:val="both"/>
        <w:rPr>
          <w:rFonts w:eastAsiaTheme="minorHAnsi"/>
          <w:spacing w:val="-2"/>
          <w:sz w:val="20"/>
          <w:szCs w:val="20"/>
        </w:rPr>
      </w:pPr>
      <w:r w:rsidRPr="00EC375F">
        <w:rPr>
          <w:rFonts w:eastAsiaTheme="minorHAnsi"/>
          <w:spacing w:val="-2"/>
          <w:sz w:val="20"/>
          <w:szCs w:val="20"/>
        </w:rPr>
        <w:t>Yönetim Kurulu, SPKn hükümlerine uygun olarak, gerekli gördüğü zamanlarda, kayıtlı sermaye tavanına kadar yeni pay ihraç ederek çıkarılmış sermayeyi artırmaya, imtiyazlı pay sahiplerinin haklarının kısıtlanması ve pay sahiplerinin yeni pay alma hakkının sınırlandırılması ile nominal değerinin üzerinde veya altında pay ihracı konularında karar almaya yetkilidir. Yeni pay alma hakkını kısıtlama yetkisi, pay sahipleri arasında eşitsizliğe yol açacak şekilde kullanılamaz.</w:t>
      </w:r>
    </w:p>
    <w:p w:rsidR="00123005" w:rsidRPr="00EC375F" w:rsidRDefault="00123005" w:rsidP="00682E5E">
      <w:pPr>
        <w:pStyle w:val="GvdeMetni"/>
        <w:spacing w:before="84"/>
        <w:ind w:left="100" w:right="139"/>
        <w:jc w:val="both"/>
        <w:rPr>
          <w:rFonts w:eastAsiaTheme="minorHAnsi"/>
          <w:spacing w:val="-2"/>
          <w:sz w:val="20"/>
          <w:szCs w:val="20"/>
        </w:rPr>
      </w:pPr>
    </w:p>
    <w:p w:rsidR="00F109B6" w:rsidRPr="00EC375F" w:rsidRDefault="00F109B6" w:rsidP="00682E5E">
      <w:pPr>
        <w:pStyle w:val="GvdeMetni"/>
        <w:spacing w:before="4"/>
        <w:ind w:left="100"/>
        <w:jc w:val="both"/>
        <w:rPr>
          <w:rFonts w:eastAsiaTheme="minorHAnsi"/>
          <w:spacing w:val="-2"/>
          <w:sz w:val="20"/>
          <w:szCs w:val="20"/>
        </w:rPr>
      </w:pPr>
      <w:r w:rsidRPr="00EC375F">
        <w:rPr>
          <w:rFonts w:eastAsiaTheme="minorHAnsi"/>
          <w:spacing w:val="-2"/>
          <w:sz w:val="20"/>
          <w:szCs w:val="20"/>
        </w:rPr>
        <w:t>Çıkarılan paylar tamamen satılarak bedelleri ödenmedikçe veya satılamayan paylar iptal edilmedikçe yeni paylar çıkarılmaz.</w:t>
      </w:r>
    </w:p>
    <w:p w:rsidR="00F109B6" w:rsidRPr="00EC375F" w:rsidRDefault="00F109B6" w:rsidP="00682E5E">
      <w:pPr>
        <w:pStyle w:val="GvdeMetni"/>
        <w:spacing w:before="84"/>
        <w:ind w:left="100"/>
        <w:rPr>
          <w:rFonts w:eastAsiaTheme="minorHAnsi"/>
          <w:spacing w:val="-2"/>
          <w:sz w:val="20"/>
          <w:szCs w:val="20"/>
        </w:rPr>
      </w:pPr>
      <w:r w:rsidRPr="00EC375F">
        <w:rPr>
          <w:rFonts w:eastAsiaTheme="minorHAnsi"/>
          <w:spacing w:val="-2"/>
          <w:sz w:val="20"/>
          <w:szCs w:val="20"/>
        </w:rPr>
        <w:t>Sermaye artırımlarında, Yönetim Kurulu tarafından aksine karar verilmemiş ise, (A) Grubu paylar karşılığında (A) Grubu, (B) Grubu paylar karşılığında (B) Grubu yeni pay çıkarılacaktır. Yeni pay alma haklarını kısıtlanması halinde (B) grubu pay çıkarılacaktır.</w:t>
      </w:r>
    </w:p>
    <w:p w:rsidR="00F109B6" w:rsidRPr="00EC375F" w:rsidRDefault="00F109B6" w:rsidP="00682E5E">
      <w:pPr>
        <w:pStyle w:val="GvdeMetni"/>
        <w:spacing w:before="84"/>
        <w:ind w:left="100"/>
        <w:rPr>
          <w:rFonts w:eastAsiaTheme="minorHAnsi"/>
          <w:spacing w:val="-2"/>
          <w:sz w:val="20"/>
          <w:szCs w:val="20"/>
        </w:rPr>
      </w:pPr>
      <w:r w:rsidRPr="00EC375F">
        <w:rPr>
          <w:rFonts w:eastAsiaTheme="minorHAnsi"/>
          <w:spacing w:val="-2"/>
          <w:sz w:val="20"/>
          <w:szCs w:val="20"/>
        </w:rPr>
        <w:t>Sermaye artırımlarında, bedelsiz paylar artırım tarihindeki mevcut paylara dağıtılır.</w:t>
      </w:r>
    </w:p>
    <w:p w:rsidR="00F109B6" w:rsidRDefault="00F109B6" w:rsidP="00682E5E">
      <w:pPr>
        <w:pStyle w:val="GvdeMetni"/>
        <w:spacing w:before="84"/>
        <w:ind w:left="100"/>
        <w:rPr>
          <w:rFonts w:eastAsiaTheme="minorHAnsi"/>
          <w:spacing w:val="-2"/>
          <w:sz w:val="20"/>
          <w:szCs w:val="20"/>
        </w:rPr>
      </w:pPr>
      <w:r w:rsidRPr="00EC375F">
        <w:rPr>
          <w:rFonts w:eastAsiaTheme="minorHAnsi"/>
          <w:spacing w:val="-2"/>
          <w:sz w:val="20"/>
          <w:szCs w:val="20"/>
        </w:rPr>
        <w:t xml:space="preserve">Sermayeyi temsil eden paylar kaydileştirme esasları çerçevesinde kayden izlenir. </w:t>
      </w:r>
    </w:p>
    <w:p w:rsidR="00EC375F" w:rsidRDefault="00EC375F" w:rsidP="00682E5E">
      <w:pPr>
        <w:pStyle w:val="GvdeMetni"/>
        <w:spacing w:before="84"/>
        <w:ind w:left="100"/>
        <w:rPr>
          <w:rFonts w:eastAsiaTheme="minorHAnsi"/>
          <w:spacing w:val="-2"/>
          <w:sz w:val="20"/>
          <w:szCs w:val="20"/>
        </w:rPr>
      </w:pPr>
    </w:p>
    <w:p w:rsidR="00EC375F" w:rsidRPr="008E0CAC" w:rsidRDefault="00EC375F" w:rsidP="00682E5E">
      <w:pPr>
        <w:spacing w:line="240" w:lineRule="auto"/>
        <w:rPr>
          <w:rFonts w:ascii="Arial" w:hAnsi="Arial" w:cs="Arial"/>
          <w:b/>
          <w:bCs/>
          <w:sz w:val="20"/>
          <w:szCs w:val="20"/>
        </w:rPr>
      </w:pPr>
      <w:r w:rsidRPr="008E0CAC">
        <w:rPr>
          <w:rFonts w:ascii="Arial" w:hAnsi="Arial" w:cs="Arial"/>
          <w:b/>
          <w:bCs/>
          <w:sz w:val="20"/>
          <w:szCs w:val="20"/>
        </w:rPr>
        <w:t>Madde 7:</w:t>
      </w:r>
    </w:p>
    <w:p w:rsidR="00EC375F" w:rsidRPr="008E0CAC" w:rsidRDefault="00EC375F" w:rsidP="00682E5E">
      <w:pPr>
        <w:spacing w:line="240" w:lineRule="auto"/>
        <w:rPr>
          <w:rFonts w:ascii="Arial" w:hAnsi="Arial" w:cs="Arial"/>
          <w:b/>
          <w:bCs/>
          <w:sz w:val="20"/>
          <w:szCs w:val="20"/>
        </w:rPr>
      </w:pPr>
      <w:r w:rsidRPr="008E0CAC">
        <w:rPr>
          <w:rFonts w:ascii="Arial" w:hAnsi="Arial" w:cs="Arial"/>
          <w:b/>
          <w:bCs/>
          <w:sz w:val="20"/>
          <w:szCs w:val="20"/>
        </w:rPr>
        <w:t>YÖNETİM KURULU</w:t>
      </w:r>
    </w:p>
    <w:p w:rsidR="00753DF5" w:rsidRDefault="00753DF5" w:rsidP="00682E5E">
      <w:pPr>
        <w:pStyle w:val="GvdeMetni"/>
        <w:spacing w:before="5"/>
        <w:ind w:left="100"/>
        <w:jc w:val="both"/>
        <w:rPr>
          <w:rFonts w:eastAsiaTheme="minorHAnsi"/>
          <w:spacing w:val="-2"/>
          <w:sz w:val="20"/>
          <w:szCs w:val="20"/>
        </w:rPr>
      </w:pPr>
      <w:r w:rsidRPr="008E0CAC">
        <w:rPr>
          <w:rFonts w:eastAsiaTheme="minorHAnsi"/>
          <w:spacing w:val="-2"/>
          <w:sz w:val="20"/>
          <w:szCs w:val="20"/>
        </w:rPr>
        <w:t>Şirket’in işleri ve idaresi Genel Kurul tarafından TTK ve sermaye piyasası mevzuatı ile işbu Esas Sözleşme hükümleri çerçevesinde seçilecek en az 5 en fazla 12 üyeden oluşan bir yönetim kurulu tarafından yürütülür. Görev süresi sona eren Yönetim Kurulu Üyeleri yeniden seçilebilirler.</w:t>
      </w:r>
    </w:p>
    <w:p w:rsidR="00FF3E4F" w:rsidRPr="008E0CAC" w:rsidRDefault="00FF3E4F" w:rsidP="00682E5E">
      <w:pPr>
        <w:pStyle w:val="GvdeMetni"/>
        <w:spacing w:before="5"/>
        <w:ind w:left="100"/>
        <w:jc w:val="both"/>
        <w:rPr>
          <w:rFonts w:eastAsiaTheme="minorHAnsi"/>
          <w:spacing w:val="-2"/>
          <w:sz w:val="20"/>
          <w:szCs w:val="20"/>
        </w:rPr>
      </w:pPr>
    </w:p>
    <w:p w:rsidR="00753DF5" w:rsidRPr="008E0CAC" w:rsidRDefault="00753DF5" w:rsidP="00682E5E">
      <w:pPr>
        <w:pStyle w:val="GvdeMetni"/>
        <w:spacing w:before="5"/>
        <w:ind w:left="100"/>
        <w:jc w:val="both"/>
        <w:rPr>
          <w:rFonts w:eastAsiaTheme="minorHAnsi"/>
          <w:spacing w:val="-2"/>
          <w:sz w:val="20"/>
          <w:szCs w:val="20"/>
        </w:rPr>
      </w:pPr>
      <w:r w:rsidRPr="008E0CAC">
        <w:rPr>
          <w:rFonts w:eastAsiaTheme="minorHAnsi"/>
          <w:spacing w:val="-2"/>
          <w:sz w:val="20"/>
          <w:szCs w:val="20"/>
        </w:rPr>
        <w:t>A Grubu paylar, Yönetim Kurulu üyelerinin seçiminde aday gösterme imtiyazı sahibidir. 5 (beş) üyeden oluşan Yönetim Kurulu’nun 2 (iki) üyesi, 6 (altı) veya 7 (yedi) üyeden oluşan Yönetim Kurulu’nun 3 (üç) üyesi, 8 (sekiz) veya 9 (dokuz) üyeden oluşan Yönetim Kurulu’nun 4 (dört) üyesi ve 10 (on) veya 11 (on bir) üyeden oluşan Yönetim Kurulu’nun 5 (beş) üyesi, 12 (on iki) üyeden oluşan Yönetim Kurulu’nun 6 (altı) üyesi, A Grubu pay sahipleri veya gösterecekleri adaylar arasından seçilir. A Grubu pay sahiplerinin belirleyerek Genel Kurul’un seçimine sunacağı adaylar, (İmtiyazlı Pay Sahipleri Özel Kurulu toplanmasına gerek olmaksızın) A Grubu pay sahiplerinin kendi aralarında yapacakları bir toplantı ile veya alacakları yazılı bir karar ile belirlenir.</w:t>
      </w:r>
    </w:p>
    <w:p w:rsidR="00753DF5" w:rsidRPr="008E0CAC" w:rsidRDefault="00753DF5" w:rsidP="00682E5E">
      <w:pPr>
        <w:pStyle w:val="GvdeMetni"/>
        <w:spacing w:before="5"/>
        <w:ind w:left="100"/>
        <w:jc w:val="both"/>
        <w:rPr>
          <w:rFonts w:eastAsiaTheme="minorHAnsi"/>
          <w:spacing w:val="-2"/>
          <w:sz w:val="20"/>
          <w:szCs w:val="20"/>
        </w:rPr>
      </w:pPr>
    </w:p>
    <w:p w:rsidR="00753DF5" w:rsidRPr="008E0CAC" w:rsidRDefault="00753DF5" w:rsidP="00682E5E">
      <w:pPr>
        <w:pStyle w:val="GvdeMetni"/>
        <w:spacing w:before="5"/>
        <w:ind w:left="100"/>
        <w:jc w:val="both"/>
        <w:rPr>
          <w:rFonts w:eastAsiaTheme="minorHAnsi"/>
          <w:spacing w:val="-2"/>
          <w:sz w:val="20"/>
          <w:szCs w:val="20"/>
        </w:rPr>
      </w:pPr>
      <w:r w:rsidRPr="008E0CAC">
        <w:rPr>
          <w:rFonts w:eastAsiaTheme="minorHAnsi"/>
          <w:spacing w:val="-2"/>
          <w:sz w:val="20"/>
          <w:szCs w:val="20"/>
        </w:rPr>
        <w:t>Yönetim kurulunda görev alacak bağımsız üyelerin sayısı ve nitelikleri SPK’nın kurumsal yönetime ilişkin düzenlemeleri başta olmak üzere sermaye piyasası mevzuatına göre tespit edilir. A Grubu pay sahiplerinin göstereceği adaylar arasından seçilecek Yönetim Kurulu üyeleri, söz konusu bağımsız üyeler haricindeki üyelerden oluşacaktır.</w:t>
      </w:r>
    </w:p>
    <w:p w:rsidR="00753DF5" w:rsidRPr="008E0CAC" w:rsidRDefault="00753DF5" w:rsidP="00682E5E">
      <w:pPr>
        <w:pStyle w:val="GvdeMetni"/>
        <w:spacing w:before="5"/>
        <w:ind w:left="100"/>
        <w:jc w:val="both"/>
        <w:rPr>
          <w:rFonts w:eastAsiaTheme="minorHAnsi"/>
          <w:spacing w:val="-2"/>
          <w:sz w:val="20"/>
          <w:szCs w:val="20"/>
        </w:rPr>
      </w:pPr>
    </w:p>
    <w:p w:rsidR="00753DF5" w:rsidRPr="008E0CAC" w:rsidRDefault="00753DF5" w:rsidP="00682E5E">
      <w:pPr>
        <w:pStyle w:val="GvdeMetni"/>
        <w:spacing w:before="5"/>
        <w:ind w:left="100"/>
        <w:jc w:val="both"/>
        <w:rPr>
          <w:rFonts w:eastAsiaTheme="minorHAnsi"/>
          <w:spacing w:val="-2"/>
          <w:sz w:val="20"/>
          <w:szCs w:val="20"/>
        </w:rPr>
      </w:pPr>
      <w:r w:rsidRPr="008E0CAC">
        <w:rPr>
          <w:rFonts w:eastAsiaTheme="minorHAnsi"/>
          <w:spacing w:val="-2"/>
          <w:sz w:val="20"/>
          <w:szCs w:val="20"/>
        </w:rPr>
        <w:t>Yönetim Kurulu üyeliklerinden birinin boşalması halinde yönetim kurulu, boşalan üyelik için, yapılacak bir sonraki Genel Kurul toplantısının onayına sunulmak ve bu toplantıya kadar görev yapmak üzere, TTK ve sermaye piyasası mevzuatında belirtilen şartları haiz bir kişiyi geçici olarak atayacaktır. A Grubu pay sahipleri tarafından aday gösterilerek seçilmiş Yönetim Kurulu üyesi yerine, yine A Grubu pay sahiplerinin aday göstermesi suretiyle seçilen Yönetim Kurulu üyelerinden göreve devam edenlerin çoğunluğunun önerdiği aday Yönetim Kurulu’nun onayı ile atanır. Ataması Genel Kurul tarafından onaylanan üye selefinin görev süresini tamamlayacaktır. Yönetim Kurulu üyeleri gündemde ilgili bir maddenin bulunması veya gündemde madde bulunmasa bile haklı bir sebebin varlığı halinde, Genel Kurul kararıyla her zaman görevden alınabilirler. Bir tüzel kişi Yönetim Kurulu’na üye seçildiği takdirde, tüzel kişiyle birlikte, tüzel kişi adına, tüzel kişi tarafından belirlenen, sadece bir gerçek kişi de tescil ve ilan olunur. Yönetim Kurulu üyesi olan tüzel kişi, kendi adına tescil edilmiş bulunan kişiyi her an değiştirebilir.</w:t>
      </w:r>
    </w:p>
    <w:p w:rsidR="00753DF5" w:rsidRPr="008E0CAC" w:rsidRDefault="00753DF5" w:rsidP="00682E5E">
      <w:pPr>
        <w:pStyle w:val="GvdeMetni"/>
        <w:spacing w:before="5"/>
        <w:ind w:left="100"/>
        <w:jc w:val="both"/>
        <w:rPr>
          <w:rFonts w:eastAsiaTheme="minorHAnsi"/>
          <w:spacing w:val="-2"/>
          <w:sz w:val="20"/>
          <w:szCs w:val="20"/>
        </w:rPr>
      </w:pPr>
    </w:p>
    <w:p w:rsidR="00753DF5" w:rsidRPr="008E0CAC" w:rsidRDefault="00753DF5" w:rsidP="00682E5E">
      <w:pPr>
        <w:pStyle w:val="GvdeMetni"/>
        <w:spacing w:before="5"/>
        <w:ind w:left="100"/>
        <w:jc w:val="both"/>
        <w:rPr>
          <w:rFonts w:eastAsiaTheme="minorHAnsi"/>
          <w:spacing w:val="-2"/>
          <w:sz w:val="20"/>
          <w:szCs w:val="20"/>
        </w:rPr>
      </w:pPr>
      <w:r w:rsidRPr="008E0CAC">
        <w:rPr>
          <w:rFonts w:eastAsiaTheme="minorHAnsi"/>
          <w:spacing w:val="-2"/>
          <w:sz w:val="20"/>
          <w:szCs w:val="20"/>
        </w:rPr>
        <w:t>Bağımsız üyenin bağımsızlığını kaybetmesi, istifa etmesi veya görevini yerine getiremeyecek duruma gelmesi halinde, sermaye piyasası mevzuatı ve SPK’nın kurumsal yönetim ilkelerinde yer alan düzenlemelere uyulur.</w:t>
      </w:r>
    </w:p>
    <w:p w:rsidR="00753DF5" w:rsidRPr="008E0CAC" w:rsidRDefault="00753DF5" w:rsidP="00682E5E">
      <w:pPr>
        <w:pStyle w:val="GvdeMetni"/>
        <w:spacing w:before="5"/>
        <w:ind w:left="100"/>
        <w:jc w:val="both"/>
        <w:rPr>
          <w:rFonts w:eastAsiaTheme="minorHAnsi"/>
          <w:spacing w:val="-2"/>
          <w:sz w:val="20"/>
          <w:szCs w:val="20"/>
        </w:rPr>
      </w:pPr>
    </w:p>
    <w:p w:rsidR="00753DF5" w:rsidRPr="008E0CAC" w:rsidRDefault="00753DF5" w:rsidP="00682E5E">
      <w:pPr>
        <w:pStyle w:val="GvdeMetni"/>
        <w:spacing w:before="5"/>
        <w:ind w:left="100"/>
        <w:jc w:val="both"/>
        <w:rPr>
          <w:rFonts w:eastAsiaTheme="minorHAnsi"/>
          <w:spacing w:val="-2"/>
          <w:sz w:val="20"/>
          <w:szCs w:val="20"/>
        </w:rPr>
      </w:pPr>
      <w:r w:rsidRPr="008E0CAC">
        <w:rPr>
          <w:rFonts w:eastAsiaTheme="minorHAnsi"/>
          <w:spacing w:val="-2"/>
          <w:sz w:val="20"/>
          <w:szCs w:val="20"/>
        </w:rPr>
        <w:lastRenderedPageBreak/>
        <w:t>Yönetim Kurulu, ilk toplantısında aralarından bir başkan ve bir başkan vekili seçer.</w:t>
      </w:r>
    </w:p>
    <w:p w:rsidR="00753DF5" w:rsidRPr="008E0CAC" w:rsidRDefault="00753DF5" w:rsidP="00682E5E">
      <w:pPr>
        <w:pStyle w:val="GvdeMetni"/>
        <w:spacing w:before="5"/>
        <w:ind w:left="100"/>
        <w:jc w:val="both"/>
        <w:rPr>
          <w:rFonts w:eastAsiaTheme="minorHAnsi"/>
          <w:spacing w:val="-2"/>
          <w:sz w:val="20"/>
          <w:szCs w:val="20"/>
        </w:rPr>
      </w:pPr>
    </w:p>
    <w:p w:rsidR="00753DF5" w:rsidRDefault="00753DF5" w:rsidP="00682E5E">
      <w:pPr>
        <w:pStyle w:val="GvdeMetni"/>
        <w:spacing w:before="5"/>
        <w:ind w:left="100"/>
        <w:jc w:val="both"/>
        <w:rPr>
          <w:rFonts w:eastAsiaTheme="minorHAnsi"/>
          <w:spacing w:val="-2"/>
          <w:sz w:val="20"/>
          <w:szCs w:val="20"/>
        </w:rPr>
      </w:pPr>
      <w:r w:rsidRPr="008E0CAC">
        <w:rPr>
          <w:rFonts w:eastAsiaTheme="minorHAnsi"/>
          <w:spacing w:val="-2"/>
          <w:sz w:val="20"/>
          <w:szCs w:val="20"/>
        </w:rPr>
        <w:t>TTK ve sermaye piyasası mevzuatı uyarınca, riskin erken saptanması komitesi dahil olmak üzere, yönetim kurulunun kurmakla yükümlü olduğu komitelerin oluşumu, görev ve çalışma esasları TTK, SPKn, SPK’nın kurumsal yönetime ilişkin düzenlemeleri ve ilgili diğer mevzuat hükümlerine göre gerçekleştirilir. Yönetim Kurulu, TTK ve sermaye piyasası mevzuatına uygun olarak, gerekli göreceği konularda komiteler ve alt komiteler oluşturur.</w:t>
      </w:r>
    </w:p>
    <w:p w:rsidR="00123005" w:rsidRPr="008E0CAC" w:rsidRDefault="00123005" w:rsidP="00682E5E">
      <w:pPr>
        <w:pStyle w:val="GvdeMetni"/>
        <w:spacing w:before="5"/>
        <w:ind w:left="100"/>
        <w:jc w:val="both"/>
        <w:rPr>
          <w:rFonts w:eastAsiaTheme="minorHAnsi"/>
          <w:spacing w:val="-2"/>
          <w:sz w:val="20"/>
          <w:szCs w:val="20"/>
        </w:rPr>
      </w:pPr>
    </w:p>
    <w:p w:rsidR="00753DF5" w:rsidRPr="008E0CAC" w:rsidRDefault="00753DF5" w:rsidP="00682E5E">
      <w:pPr>
        <w:pStyle w:val="GvdeMetni"/>
        <w:spacing w:before="5"/>
        <w:ind w:left="100"/>
        <w:jc w:val="both"/>
        <w:rPr>
          <w:rFonts w:eastAsiaTheme="minorHAnsi"/>
          <w:spacing w:val="-2"/>
          <w:sz w:val="20"/>
          <w:szCs w:val="20"/>
        </w:rPr>
      </w:pPr>
      <w:r w:rsidRPr="008E0CAC">
        <w:rPr>
          <w:rFonts w:eastAsiaTheme="minorHAnsi"/>
          <w:spacing w:val="-2"/>
          <w:sz w:val="20"/>
          <w:szCs w:val="20"/>
        </w:rPr>
        <w:t>Yönetim kurulu üyelerine ilişkin ücretler Genel Kurul tarafından belirlenir. Yönetim kurulu üyelerine ücret dışında verilecek mali haklar konusunda Genel Kurul yetkilidir. Bağımsız yönetim kurulu üyelerinin ücretlerinin belirlenmesinde sermaye piyasası mevzuatı hükümlerine uyulur.</w:t>
      </w:r>
    </w:p>
    <w:p w:rsidR="00753DF5" w:rsidRPr="008E0CAC" w:rsidRDefault="00753DF5" w:rsidP="00682E5E">
      <w:pPr>
        <w:pStyle w:val="GvdeMetni"/>
        <w:spacing w:before="5"/>
        <w:ind w:left="100"/>
        <w:jc w:val="both"/>
        <w:rPr>
          <w:rFonts w:eastAsiaTheme="minorHAnsi"/>
          <w:spacing w:val="-2"/>
          <w:sz w:val="20"/>
          <w:szCs w:val="20"/>
        </w:rPr>
      </w:pPr>
    </w:p>
    <w:p w:rsidR="00753DF5" w:rsidRDefault="00753DF5" w:rsidP="00682E5E">
      <w:pPr>
        <w:pStyle w:val="GvdeMetni"/>
        <w:spacing w:before="5"/>
        <w:ind w:left="100"/>
        <w:jc w:val="both"/>
        <w:rPr>
          <w:rFonts w:eastAsiaTheme="minorHAnsi"/>
          <w:spacing w:val="-2"/>
          <w:sz w:val="20"/>
          <w:szCs w:val="20"/>
        </w:rPr>
      </w:pPr>
      <w:r w:rsidRPr="008E0CAC">
        <w:rPr>
          <w:rFonts w:eastAsiaTheme="minorHAnsi"/>
          <w:spacing w:val="-2"/>
          <w:sz w:val="20"/>
          <w:szCs w:val="20"/>
        </w:rPr>
        <w:t>Şirket ile işlem yapma, şirkete borçlanma ve rekabet yasağına ilişkin TTK ve sermaye piyasası mevzuatının ilgili hükümleri uygulanır.</w:t>
      </w:r>
    </w:p>
    <w:p w:rsidR="008E0CAC" w:rsidRPr="008E0CAC" w:rsidRDefault="008E0CAC" w:rsidP="00682E5E">
      <w:pPr>
        <w:pStyle w:val="GvdeMetni"/>
        <w:spacing w:before="5"/>
        <w:ind w:left="100"/>
        <w:jc w:val="both"/>
        <w:rPr>
          <w:rFonts w:eastAsiaTheme="minorHAnsi"/>
          <w:spacing w:val="-2"/>
          <w:sz w:val="20"/>
          <w:szCs w:val="20"/>
        </w:rPr>
      </w:pPr>
    </w:p>
    <w:p w:rsidR="008E0CAC" w:rsidRPr="008E0CAC" w:rsidRDefault="008E0CAC" w:rsidP="00682E5E">
      <w:pPr>
        <w:spacing w:line="240" w:lineRule="auto"/>
        <w:rPr>
          <w:rFonts w:ascii="Arial" w:hAnsi="Arial" w:cs="Arial"/>
          <w:b/>
          <w:bCs/>
          <w:sz w:val="20"/>
          <w:szCs w:val="20"/>
        </w:rPr>
      </w:pPr>
      <w:r>
        <w:rPr>
          <w:rFonts w:ascii="Arial" w:hAnsi="Arial" w:cs="Arial"/>
          <w:b/>
          <w:bCs/>
          <w:sz w:val="20"/>
          <w:szCs w:val="20"/>
        </w:rPr>
        <w:t>Madde</w:t>
      </w:r>
      <w:r w:rsidRPr="008E0CAC">
        <w:rPr>
          <w:rFonts w:ascii="Arial" w:hAnsi="Arial" w:cs="Arial"/>
          <w:b/>
          <w:bCs/>
          <w:sz w:val="20"/>
          <w:szCs w:val="20"/>
        </w:rPr>
        <w:t xml:space="preserve"> 8</w:t>
      </w:r>
    </w:p>
    <w:p w:rsidR="008E0CAC" w:rsidRPr="008E0CAC" w:rsidRDefault="008E0CAC" w:rsidP="00682E5E">
      <w:pPr>
        <w:spacing w:line="240" w:lineRule="auto"/>
        <w:rPr>
          <w:rFonts w:ascii="Arial" w:hAnsi="Arial" w:cs="Arial"/>
          <w:b/>
          <w:bCs/>
          <w:sz w:val="20"/>
          <w:szCs w:val="20"/>
        </w:rPr>
      </w:pPr>
      <w:r w:rsidRPr="008E0CAC">
        <w:rPr>
          <w:rFonts w:ascii="Arial" w:hAnsi="Arial" w:cs="Arial"/>
          <w:b/>
          <w:bCs/>
          <w:sz w:val="20"/>
          <w:szCs w:val="20"/>
        </w:rPr>
        <w:t>ŞİRKET’İN TEMSİLİ</w:t>
      </w:r>
    </w:p>
    <w:p w:rsidR="008E0CAC" w:rsidRDefault="008E0CAC" w:rsidP="00682E5E">
      <w:pPr>
        <w:spacing w:before="80" w:after="80" w:line="240" w:lineRule="auto"/>
        <w:jc w:val="both"/>
        <w:rPr>
          <w:rFonts w:ascii="Arial" w:hAnsi="Arial" w:cs="Arial"/>
          <w:spacing w:val="-2"/>
          <w:sz w:val="20"/>
          <w:szCs w:val="20"/>
        </w:rPr>
      </w:pPr>
      <w:r w:rsidRPr="008E0CAC">
        <w:rPr>
          <w:rFonts w:ascii="Arial" w:hAnsi="Arial" w:cs="Arial"/>
          <w:spacing w:val="-2"/>
          <w:sz w:val="20"/>
          <w:szCs w:val="20"/>
        </w:rPr>
        <w:t>Şirket’in yönetimi ve dışarıya karşı temsili Yönetim Kurulu’na aittir. Yönetim Kurulu, TTK, sermaye piyasası mevzuatı ve ilgili diğer mevzuat ile bu Esas Sözleşme uyarınca Genel Kurul’un yetkisinde bulunanlar haricinde, Şirket’in işletme konusunun gerçekleştirilmesi için gerekli olan her çeşit iş ve işlemler hakkında karar almaya yetkilidir. Şirket tarafından verilecek bütün belgelerin ve yapılacak işlemlerin ve sözleşmelerin Şirket’i ilzam edebilmesi için, bunların Şirket’in ticaret unvanı altına konmuş ve Şirket’i ilzama yetkili kişi veya kişilerin imzasını taşıması gereklidir.</w:t>
      </w:r>
    </w:p>
    <w:p w:rsidR="00E57105" w:rsidRPr="00E57105" w:rsidRDefault="00E57105" w:rsidP="00682E5E">
      <w:pPr>
        <w:spacing w:before="80" w:after="80" w:line="240" w:lineRule="auto"/>
        <w:jc w:val="both"/>
        <w:rPr>
          <w:rFonts w:ascii="Arial" w:hAnsi="Arial" w:cs="Arial"/>
          <w:spacing w:val="-2"/>
          <w:sz w:val="20"/>
          <w:szCs w:val="20"/>
        </w:rPr>
      </w:pPr>
      <w:r w:rsidRPr="00E57105">
        <w:rPr>
          <w:rFonts w:ascii="Arial" w:hAnsi="Arial" w:cs="Arial"/>
          <w:spacing w:val="-2"/>
          <w:sz w:val="20"/>
          <w:szCs w:val="20"/>
        </w:rPr>
        <w:t>Yönetim Kurulu, TTK’nın 370/2 maddesi uyarınca temsil yetkisini bir veya daha fazla murahhas üyeye veya müdür olarak üçüncü kişilere devredebilir. En az bir Yönetim Kurulu üyesinin temsil yetkisini haiz olması şarttır.</w:t>
      </w:r>
    </w:p>
    <w:p w:rsidR="00E57105" w:rsidRPr="00E57105" w:rsidRDefault="00E57105" w:rsidP="00682E5E">
      <w:pPr>
        <w:spacing w:before="80" w:after="80" w:line="240" w:lineRule="auto"/>
        <w:jc w:val="both"/>
        <w:rPr>
          <w:rFonts w:ascii="Arial" w:hAnsi="Arial" w:cs="Arial"/>
          <w:spacing w:val="-2"/>
          <w:sz w:val="20"/>
          <w:szCs w:val="20"/>
        </w:rPr>
      </w:pPr>
      <w:r w:rsidRPr="00E57105">
        <w:rPr>
          <w:rFonts w:ascii="Arial" w:hAnsi="Arial" w:cs="Arial"/>
          <w:spacing w:val="-2"/>
          <w:sz w:val="20"/>
          <w:szCs w:val="20"/>
        </w:rPr>
        <w:t>Yönetim Kurulu, TTK’nın 367’nci maddesi uyarınca düzenleyeceği bir iç yönergeye göre, yönetimi kısmen veya tamamen bir veya birkaç Yönetim Kurulu üyesine veya üçüncü kişiye devretmeye yetkili kılınabilir.</w:t>
      </w:r>
    </w:p>
    <w:p w:rsidR="00E57105" w:rsidRPr="00E57105" w:rsidRDefault="00E57105" w:rsidP="00682E5E">
      <w:pPr>
        <w:spacing w:before="80" w:after="80" w:line="240" w:lineRule="auto"/>
        <w:jc w:val="both"/>
        <w:rPr>
          <w:rFonts w:ascii="Arial" w:hAnsi="Arial" w:cs="Arial"/>
          <w:spacing w:val="-2"/>
          <w:sz w:val="20"/>
          <w:szCs w:val="20"/>
        </w:rPr>
      </w:pPr>
      <w:r w:rsidRPr="00E57105">
        <w:rPr>
          <w:rFonts w:ascii="Arial" w:hAnsi="Arial" w:cs="Arial"/>
          <w:spacing w:val="-2"/>
          <w:sz w:val="20"/>
          <w:szCs w:val="20"/>
        </w:rPr>
        <w:t>Temsile yetkili kişileri ve bunların temsil şekillerini gösterir kararın noterce onaylamış sureti ticaret sicilinde tescil ve ilan edilmedikçe, temsil yetkisinin devri geçerli olmaz. Temsil yetkisinin sınırlandırılması, iyi niyet sahibi üçüncü kişilere karşı hüküm ifade etmez; ancak, temsil yetkisinin sadece merkezin veya bir şubenin işlerine özgülendiğine veya birlikte kullanılmasına ilişkin tescil ve ilan edilen sınırlamalar geçerlidir.</w:t>
      </w:r>
    </w:p>
    <w:p w:rsidR="00E57105" w:rsidRPr="00E57105" w:rsidRDefault="00E57105" w:rsidP="00682E5E">
      <w:pPr>
        <w:spacing w:before="80" w:after="80" w:line="240" w:lineRule="auto"/>
        <w:jc w:val="both"/>
        <w:rPr>
          <w:rFonts w:ascii="Arial" w:hAnsi="Arial" w:cs="Arial"/>
          <w:spacing w:val="-2"/>
          <w:sz w:val="20"/>
          <w:szCs w:val="20"/>
        </w:rPr>
      </w:pPr>
      <w:r w:rsidRPr="00E57105">
        <w:rPr>
          <w:rFonts w:ascii="Arial" w:hAnsi="Arial" w:cs="Arial"/>
          <w:spacing w:val="-2"/>
          <w:sz w:val="20"/>
          <w:szCs w:val="20"/>
        </w:rPr>
        <w:t>Yönetim Kurulu, temsile yetkili olmayan Yönetim Kurulu üyelerini veya Şirket’e hizmet akdi ile bağlı olanları sınırlı yetkiye sahip ticari vekil veya diğer tacir yardımcıları olarak atayabilir. Bu şekilde atanacak olanların görev ve yetkileri, TTK’nın 371/7 maddesi uyarınca hazırlanacak iç yönergede açıkça belirlenir. Bu durumda iç yönergenin tescil ve ilanı zorunludur. Yetkilendirilen ticari vekil veya diğer tacir yardımcıları da ticaret siciline tescil ve ilan edilir.</w:t>
      </w:r>
    </w:p>
    <w:p w:rsidR="00E57105" w:rsidRDefault="00E57105" w:rsidP="00682E5E">
      <w:pPr>
        <w:spacing w:before="80" w:after="80" w:line="240" w:lineRule="auto"/>
        <w:jc w:val="both"/>
        <w:rPr>
          <w:rFonts w:ascii="Arial" w:hAnsi="Arial" w:cs="Arial"/>
          <w:spacing w:val="-2"/>
          <w:sz w:val="20"/>
          <w:szCs w:val="20"/>
        </w:rPr>
      </w:pPr>
      <w:r w:rsidRPr="00E57105">
        <w:rPr>
          <w:rFonts w:ascii="Arial" w:hAnsi="Arial" w:cs="Arial"/>
          <w:spacing w:val="-2"/>
          <w:sz w:val="20"/>
          <w:szCs w:val="20"/>
        </w:rPr>
        <w:t>Yönetim Kurulu’nun TTK’nın 374’üncü maddesinde düzenlenen görev ve yetkileri ile 375’inci maddesinde düzenlenen devredilemez görev ve yetkileri saklıdır.</w:t>
      </w:r>
    </w:p>
    <w:p w:rsidR="00E57105" w:rsidRDefault="00E57105" w:rsidP="00682E5E">
      <w:pPr>
        <w:spacing w:line="240" w:lineRule="auto"/>
        <w:rPr>
          <w:rFonts w:ascii="Arial" w:hAnsi="Arial" w:cs="Arial"/>
          <w:b/>
          <w:bCs/>
          <w:sz w:val="20"/>
          <w:szCs w:val="20"/>
        </w:rPr>
      </w:pPr>
      <w:r>
        <w:rPr>
          <w:rFonts w:ascii="Arial" w:hAnsi="Arial" w:cs="Arial"/>
          <w:b/>
          <w:bCs/>
          <w:sz w:val="20"/>
          <w:szCs w:val="20"/>
        </w:rPr>
        <w:t>Madde 9</w:t>
      </w:r>
    </w:p>
    <w:p w:rsidR="00E57105" w:rsidRDefault="00E57105" w:rsidP="00682E5E">
      <w:pPr>
        <w:spacing w:line="240" w:lineRule="auto"/>
        <w:rPr>
          <w:rFonts w:ascii="Arial" w:hAnsi="Arial" w:cs="Arial"/>
          <w:b/>
          <w:bCs/>
          <w:sz w:val="20"/>
          <w:szCs w:val="20"/>
        </w:rPr>
      </w:pPr>
      <w:r>
        <w:rPr>
          <w:rFonts w:ascii="Arial" w:hAnsi="Arial" w:cs="Arial"/>
          <w:b/>
          <w:bCs/>
          <w:sz w:val="20"/>
          <w:szCs w:val="20"/>
        </w:rPr>
        <w:t>YÖNETİM KURULU TOPLANTILARI</w:t>
      </w:r>
    </w:p>
    <w:p w:rsidR="00FF3E4F" w:rsidRPr="00682E5E" w:rsidRDefault="00FF3E4F" w:rsidP="003F0741">
      <w:pPr>
        <w:spacing w:before="80" w:after="80" w:line="240" w:lineRule="auto"/>
        <w:jc w:val="both"/>
        <w:rPr>
          <w:rFonts w:ascii="Arial" w:hAnsi="Arial" w:cs="Arial"/>
          <w:spacing w:val="-2"/>
          <w:sz w:val="20"/>
          <w:szCs w:val="20"/>
        </w:rPr>
      </w:pPr>
      <w:r w:rsidRPr="00682E5E">
        <w:rPr>
          <w:rFonts w:ascii="Arial" w:hAnsi="Arial" w:cs="Arial"/>
          <w:spacing w:val="-2"/>
          <w:sz w:val="20"/>
          <w:szCs w:val="20"/>
        </w:rPr>
        <w:t>Yönetim Kurulu, Şirket işlerinin ve mevzuatın gerektirdiği zamanlarda toplanır. Yönetim Kurulu’nun toplantı şekli, gündemi, toplantıya davet, oy kullanımları, toplantı ve karar yeter sayıları gibi hususlar hakkında TTK ve sermaye piyasası mevzuatının ilgili hükümleri uygulanır.</w:t>
      </w:r>
    </w:p>
    <w:p w:rsidR="00E57105" w:rsidRPr="00682E5E" w:rsidRDefault="00FF3E4F" w:rsidP="003F0741">
      <w:pPr>
        <w:spacing w:before="80" w:after="80" w:line="240" w:lineRule="auto"/>
        <w:jc w:val="both"/>
        <w:rPr>
          <w:rFonts w:ascii="Arial" w:hAnsi="Arial" w:cs="Arial"/>
          <w:spacing w:val="-2"/>
          <w:sz w:val="20"/>
          <w:szCs w:val="20"/>
        </w:rPr>
      </w:pPr>
      <w:r w:rsidRPr="00682E5E">
        <w:rPr>
          <w:rFonts w:ascii="Arial" w:hAnsi="Arial" w:cs="Arial"/>
          <w:spacing w:val="-2"/>
          <w:sz w:val="20"/>
          <w:szCs w:val="20"/>
        </w:rPr>
        <w:t>Yönetim Kurulu, Yönetim Kurulu başkanı veya Yönetim Kurulu başkanının yokluğunda Yönetim Kurulu başkan vekilinin daveti ile toplanır.</w:t>
      </w:r>
    </w:p>
    <w:p w:rsidR="00FF3E4F" w:rsidRPr="00682E5E" w:rsidRDefault="00FF3E4F" w:rsidP="003F0741">
      <w:pPr>
        <w:spacing w:before="80" w:after="80" w:line="240" w:lineRule="auto"/>
        <w:jc w:val="both"/>
        <w:rPr>
          <w:rFonts w:ascii="Arial" w:hAnsi="Arial" w:cs="Arial"/>
          <w:spacing w:val="-2"/>
          <w:sz w:val="20"/>
          <w:szCs w:val="20"/>
        </w:rPr>
      </w:pPr>
      <w:r w:rsidRPr="00682E5E">
        <w:rPr>
          <w:rFonts w:ascii="Arial" w:hAnsi="Arial" w:cs="Arial"/>
          <w:spacing w:val="-2"/>
          <w:sz w:val="20"/>
          <w:szCs w:val="20"/>
        </w:rPr>
        <w:t>Yönetim Kurulu toplantılarına Yönetim Kurulu başkanı veya Yönetim Kurulu başkanının yokluğunda Yönetim Kurulu başkan vekili başkanlık eder.</w:t>
      </w:r>
    </w:p>
    <w:p w:rsidR="00FF3E4F" w:rsidRPr="00682E5E" w:rsidRDefault="00FF3E4F" w:rsidP="003F0741">
      <w:pPr>
        <w:spacing w:before="80" w:after="80" w:line="240" w:lineRule="auto"/>
        <w:jc w:val="both"/>
        <w:rPr>
          <w:rFonts w:ascii="Arial" w:hAnsi="Arial" w:cs="Arial"/>
          <w:spacing w:val="-2"/>
          <w:sz w:val="20"/>
          <w:szCs w:val="20"/>
        </w:rPr>
      </w:pPr>
      <w:r w:rsidRPr="00682E5E">
        <w:rPr>
          <w:rFonts w:ascii="Arial" w:hAnsi="Arial" w:cs="Arial"/>
          <w:spacing w:val="-2"/>
          <w:sz w:val="20"/>
          <w:szCs w:val="20"/>
        </w:rPr>
        <w:t>Yönetim Kurulu toplantıları Şirket merkezinde veya Türkiye’de Yönetim Kurulu başkanının belirleyeceği uygun bir yer ve saatte yapılır. Yönetim Kurulu üyeleri Yönetim Kurulu toplantılarına fiziken katılabileceği gibi, bu toplantılara, TTK’nın 1527’nci maddesi uyarınca elektronik ortamda da katılabilir.</w:t>
      </w:r>
    </w:p>
    <w:p w:rsidR="00FF3E4F" w:rsidRPr="00682E5E" w:rsidRDefault="00FF3E4F" w:rsidP="003F0741">
      <w:pPr>
        <w:spacing w:before="80" w:after="80" w:line="240" w:lineRule="auto"/>
        <w:jc w:val="both"/>
        <w:rPr>
          <w:rFonts w:ascii="Arial" w:hAnsi="Arial" w:cs="Arial"/>
          <w:spacing w:val="-2"/>
          <w:sz w:val="20"/>
          <w:szCs w:val="20"/>
        </w:rPr>
      </w:pPr>
      <w:r w:rsidRPr="00682E5E">
        <w:rPr>
          <w:rFonts w:ascii="Arial" w:hAnsi="Arial" w:cs="Arial"/>
          <w:spacing w:val="-2"/>
          <w:sz w:val="20"/>
          <w:szCs w:val="20"/>
        </w:rPr>
        <w:t xml:space="preserve">Şirket, Ticaret Bakanlığı’nın, “Ticaret Şirketlerinde Anonim Şirket Genel Kurulları Dışında Elektronik Ortamda Yapılacak Kurullar Hakkında Tebliği” hükümleri uyarınca hak sahiplerinin bu toplantılara elektronik ortamda katılmalarına ve oy vermelerine imkan tanıyacak elektronik toplantı sistemi kurabileceği gibi bu amaç için oluşturulmuş sistemlerden de hizmet satın alabilir. Yapılacak toplantılarda Şirket Esas Sözleşmesinin bu hükmü uyarınca kurulmuş olan sistem üzerinden veya destek hizmeti alınacak sistem üzerinden hak sahiplerinin ilgili mevzuatta belirtilen haklarını ilgili Tebliğ hükümlerinde belirtilen çerçevede kullanabilmesi sağlanır. Yönetim Kurulu toplantılarının elektronik ortamda yapıldığı hallerde bu Esas </w:t>
      </w:r>
      <w:r w:rsidR="00E64010" w:rsidRPr="00682E5E">
        <w:rPr>
          <w:rFonts w:ascii="Arial" w:hAnsi="Arial" w:cs="Arial"/>
          <w:spacing w:val="-2"/>
          <w:sz w:val="20"/>
          <w:szCs w:val="20"/>
        </w:rPr>
        <w:t>Sözleşme ‘de</w:t>
      </w:r>
      <w:r w:rsidRPr="00682E5E">
        <w:rPr>
          <w:rFonts w:ascii="Arial" w:hAnsi="Arial" w:cs="Arial"/>
          <w:spacing w:val="-2"/>
          <w:sz w:val="20"/>
          <w:szCs w:val="20"/>
        </w:rPr>
        <w:t xml:space="preserve"> öngörülen toplantı ile karar nisaplarına ilişkin hükümler aynen uygulanır.</w:t>
      </w:r>
    </w:p>
    <w:p w:rsidR="00FF3E4F" w:rsidRPr="00682E5E" w:rsidRDefault="00FF3E4F" w:rsidP="003F0741">
      <w:pPr>
        <w:spacing w:before="80" w:after="80" w:line="240" w:lineRule="auto"/>
        <w:jc w:val="both"/>
        <w:rPr>
          <w:rFonts w:ascii="Arial" w:hAnsi="Arial" w:cs="Arial"/>
          <w:spacing w:val="-2"/>
          <w:sz w:val="20"/>
          <w:szCs w:val="20"/>
        </w:rPr>
      </w:pPr>
      <w:r w:rsidRPr="00682E5E">
        <w:rPr>
          <w:rFonts w:ascii="Arial" w:hAnsi="Arial" w:cs="Arial"/>
          <w:spacing w:val="-2"/>
          <w:sz w:val="20"/>
          <w:szCs w:val="20"/>
        </w:rPr>
        <w:t>Üyelerden hiçbiri toplantı yapılması isteminde bulunmadığı takdirde, Yönetim Kurulu kararları, kurul üyelerinden birinin belirli bir konuda yaptığı, karar şeklinde yazılmış önerisine, en az üye tam sayısının çoğunluğunun yazılı onayı alınmak suretiyle de verilebilir. Aynı önerinin tüm Yönetim Kurulu üyelerine yapılmış olması bu yolla alınacak kararın geçerlilik şartıdır. Onayların aynı kâğıtta bulunması şart değildir; ancak onay imzalarının bulunduğu kağıtların tümünün Yönetim Kurulu karar defterine yapıştırılması veya kabul edenlerin</w:t>
      </w:r>
      <w:r w:rsidRPr="00682E5E">
        <w:rPr>
          <w:rFonts w:ascii="Arial" w:hAnsi="Arial" w:cs="Arial"/>
          <w:spacing w:val="-2"/>
          <w:sz w:val="20"/>
          <w:szCs w:val="20"/>
        </w:rPr>
        <w:t xml:space="preserve"> </w:t>
      </w:r>
      <w:r w:rsidRPr="00682E5E">
        <w:rPr>
          <w:rFonts w:ascii="Arial" w:hAnsi="Arial" w:cs="Arial"/>
          <w:spacing w:val="-2"/>
          <w:sz w:val="20"/>
          <w:szCs w:val="20"/>
        </w:rPr>
        <w:t>imzalarını içeren bir karara dönüştürülüp karar defterine geçirilmesi kararın geçerliliği için gereklidir.</w:t>
      </w:r>
    </w:p>
    <w:p w:rsidR="00FF3E4F" w:rsidRPr="00682E5E" w:rsidRDefault="00FF3E4F" w:rsidP="003F0741">
      <w:pPr>
        <w:spacing w:before="80" w:after="80" w:line="240" w:lineRule="auto"/>
        <w:jc w:val="both"/>
        <w:rPr>
          <w:rFonts w:ascii="Arial" w:hAnsi="Arial" w:cs="Arial"/>
          <w:spacing w:val="-2"/>
          <w:sz w:val="20"/>
          <w:szCs w:val="20"/>
        </w:rPr>
      </w:pPr>
    </w:p>
    <w:p w:rsidR="00FF3E4F" w:rsidRPr="00DC10C0" w:rsidRDefault="002D637A" w:rsidP="00DC10C0">
      <w:pPr>
        <w:spacing w:line="240" w:lineRule="auto"/>
        <w:rPr>
          <w:rFonts w:ascii="Arial" w:hAnsi="Arial" w:cs="Arial"/>
          <w:b/>
          <w:bCs/>
          <w:sz w:val="20"/>
          <w:szCs w:val="20"/>
        </w:rPr>
      </w:pPr>
      <w:r w:rsidRPr="00DC10C0">
        <w:rPr>
          <w:rFonts w:ascii="Arial" w:hAnsi="Arial" w:cs="Arial"/>
          <w:b/>
          <w:bCs/>
          <w:sz w:val="20"/>
          <w:szCs w:val="20"/>
        </w:rPr>
        <w:t>Madde 10</w:t>
      </w:r>
    </w:p>
    <w:p w:rsidR="002D637A" w:rsidRPr="00DC10C0" w:rsidRDefault="002D637A" w:rsidP="00DC10C0">
      <w:pPr>
        <w:spacing w:line="240" w:lineRule="auto"/>
        <w:rPr>
          <w:rFonts w:ascii="Arial" w:hAnsi="Arial" w:cs="Arial"/>
          <w:b/>
          <w:bCs/>
          <w:sz w:val="20"/>
          <w:szCs w:val="20"/>
        </w:rPr>
      </w:pPr>
      <w:r w:rsidRPr="00DC10C0">
        <w:rPr>
          <w:rFonts w:ascii="Arial" w:hAnsi="Arial" w:cs="Arial"/>
          <w:b/>
          <w:bCs/>
          <w:sz w:val="20"/>
          <w:szCs w:val="20"/>
        </w:rPr>
        <w:t>GENEL KURUL</w:t>
      </w:r>
    </w:p>
    <w:p w:rsidR="002D637A" w:rsidRPr="002D637A" w:rsidRDefault="002D637A" w:rsidP="003F0741">
      <w:pPr>
        <w:spacing w:before="80" w:after="80" w:line="240" w:lineRule="auto"/>
        <w:jc w:val="both"/>
        <w:rPr>
          <w:rFonts w:ascii="Arial" w:hAnsi="Arial" w:cs="Arial"/>
          <w:spacing w:val="-2"/>
          <w:sz w:val="20"/>
          <w:szCs w:val="20"/>
        </w:rPr>
      </w:pPr>
      <w:r w:rsidRPr="002D637A">
        <w:rPr>
          <w:rFonts w:ascii="Arial" w:hAnsi="Arial" w:cs="Arial"/>
          <w:spacing w:val="-2"/>
          <w:sz w:val="20"/>
          <w:szCs w:val="20"/>
        </w:rPr>
        <w:t>Genel kurul toplantılarında aşağıdaki esaslar uygulanır:</w:t>
      </w:r>
    </w:p>
    <w:p w:rsidR="002D637A" w:rsidRPr="003F0741" w:rsidRDefault="002D637A"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A</w:t>
      </w:r>
      <w:r w:rsidR="00885454" w:rsidRPr="003F0741">
        <w:rPr>
          <w:rFonts w:ascii="Arial" w:hAnsi="Arial" w:cs="Arial"/>
          <w:spacing w:val="-2"/>
          <w:sz w:val="20"/>
          <w:szCs w:val="20"/>
        </w:rPr>
        <w:t>.</w:t>
      </w:r>
      <w:r w:rsidRPr="003F0741">
        <w:rPr>
          <w:rFonts w:ascii="Arial" w:hAnsi="Arial" w:cs="Arial"/>
          <w:spacing w:val="-2"/>
          <w:sz w:val="20"/>
          <w:szCs w:val="20"/>
        </w:rPr>
        <w:t xml:space="preserve"> </w:t>
      </w:r>
      <w:r w:rsidRPr="003F0741">
        <w:rPr>
          <w:rFonts w:ascii="Arial" w:hAnsi="Arial" w:cs="Arial"/>
          <w:spacing w:val="-2"/>
          <w:sz w:val="20"/>
          <w:szCs w:val="20"/>
        </w:rPr>
        <w:t>Davet Şekli</w:t>
      </w:r>
    </w:p>
    <w:p w:rsidR="002D637A" w:rsidRPr="002D637A" w:rsidRDefault="002D637A" w:rsidP="003F0741">
      <w:pPr>
        <w:spacing w:before="80" w:after="80" w:line="240" w:lineRule="auto"/>
        <w:jc w:val="both"/>
        <w:rPr>
          <w:rFonts w:ascii="Arial" w:hAnsi="Arial" w:cs="Arial"/>
          <w:spacing w:val="-2"/>
          <w:sz w:val="20"/>
          <w:szCs w:val="20"/>
        </w:rPr>
      </w:pPr>
      <w:r w:rsidRPr="002D637A">
        <w:rPr>
          <w:rFonts w:ascii="Arial" w:hAnsi="Arial" w:cs="Arial"/>
          <w:spacing w:val="-2"/>
          <w:sz w:val="20"/>
          <w:szCs w:val="20"/>
        </w:rPr>
        <w:t xml:space="preserve">Genel kurul toplantılarına davet hakkında TTK ve sermaye piyasası mevzuatının ilgili hükümlerinde yer alan davet usul ve şekli ile ilan sürelerine ilişkin düzenlemelere uyulur. Bu davet ilan ve toplantı günleri hariç olmak üzere, toplantı tarihinden en az üç hafta önce yapılır. TTK ile sermaye piyasası mevzuatının ilgili hükümlerinde </w:t>
      </w:r>
      <w:r w:rsidR="00E64010" w:rsidRPr="002D637A">
        <w:rPr>
          <w:rFonts w:ascii="Arial" w:hAnsi="Arial" w:cs="Arial"/>
          <w:spacing w:val="-2"/>
          <w:sz w:val="20"/>
          <w:szCs w:val="20"/>
        </w:rPr>
        <w:t>öngörülen</w:t>
      </w:r>
      <w:r w:rsidRPr="002D637A">
        <w:rPr>
          <w:rFonts w:ascii="Arial" w:hAnsi="Arial" w:cs="Arial"/>
          <w:spacing w:val="-2"/>
          <w:sz w:val="20"/>
          <w:szCs w:val="20"/>
        </w:rPr>
        <w:t xml:space="preserve"> bilgi ve belgeler ilan ve toplantı günleri hariç olmak üzere, toplantı tarihinden en az </w:t>
      </w:r>
      <w:r w:rsidR="00E64010" w:rsidRPr="002D637A">
        <w:rPr>
          <w:rFonts w:ascii="Arial" w:hAnsi="Arial" w:cs="Arial"/>
          <w:spacing w:val="-2"/>
          <w:sz w:val="20"/>
          <w:szCs w:val="20"/>
        </w:rPr>
        <w:t>üç</w:t>
      </w:r>
      <w:r w:rsidRPr="002D637A">
        <w:rPr>
          <w:rFonts w:ascii="Arial" w:hAnsi="Arial" w:cs="Arial"/>
          <w:spacing w:val="-2"/>
          <w:sz w:val="20"/>
          <w:szCs w:val="20"/>
        </w:rPr>
        <w:t xml:space="preserve"> hafta </w:t>
      </w:r>
      <w:r w:rsidR="00E64010" w:rsidRPr="002D637A">
        <w:rPr>
          <w:rFonts w:ascii="Arial" w:hAnsi="Arial" w:cs="Arial"/>
          <w:spacing w:val="-2"/>
          <w:sz w:val="20"/>
          <w:szCs w:val="20"/>
        </w:rPr>
        <w:t>önce</w:t>
      </w:r>
      <w:r w:rsidRPr="002D637A">
        <w:rPr>
          <w:rFonts w:ascii="Arial" w:hAnsi="Arial" w:cs="Arial"/>
          <w:spacing w:val="-2"/>
          <w:sz w:val="20"/>
          <w:szCs w:val="20"/>
        </w:rPr>
        <w:t xml:space="preserve"> ilan edilir ve pay sahiplerinin incelemesine hazır bulundurulur. Genel kurul toplantılarına çağrı konusunda SPKn’nun 29/1 hükmü saklıdır.</w:t>
      </w:r>
    </w:p>
    <w:p w:rsidR="002D637A" w:rsidRPr="003F0741" w:rsidRDefault="00885454"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 xml:space="preserve">B. </w:t>
      </w:r>
      <w:r w:rsidR="002D637A" w:rsidRPr="003F0741">
        <w:rPr>
          <w:rFonts w:ascii="Arial" w:hAnsi="Arial" w:cs="Arial"/>
          <w:spacing w:val="-2"/>
          <w:sz w:val="20"/>
          <w:szCs w:val="20"/>
        </w:rPr>
        <w:t>Toplantı Zamanı</w:t>
      </w:r>
    </w:p>
    <w:p w:rsidR="002D637A" w:rsidRPr="002D637A" w:rsidRDefault="002D637A" w:rsidP="003F0741">
      <w:pPr>
        <w:spacing w:before="80" w:after="80" w:line="240" w:lineRule="auto"/>
        <w:jc w:val="both"/>
        <w:rPr>
          <w:rFonts w:ascii="Arial" w:hAnsi="Arial" w:cs="Arial"/>
          <w:spacing w:val="-2"/>
          <w:sz w:val="20"/>
          <w:szCs w:val="20"/>
        </w:rPr>
      </w:pPr>
      <w:r w:rsidRPr="002D637A">
        <w:rPr>
          <w:rFonts w:ascii="Arial" w:hAnsi="Arial" w:cs="Arial"/>
          <w:spacing w:val="-2"/>
          <w:sz w:val="20"/>
          <w:szCs w:val="20"/>
        </w:rPr>
        <w:t>Genel Kurullar, olağan ve olağanüstü toplanırlar. Olağan genel kurul, Şirket’in faaliyet dönemi sonundan itibaren 3 ay içinde; olağanüstü genel kurullar ise, Şirket işlerinin, TTK’nın ve sermaye piyasası mevzuatının ilgili hükümlerinin gerektirdiği hallerde ve zamanlarda toplanır.</w:t>
      </w:r>
    </w:p>
    <w:p w:rsidR="002D637A" w:rsidRPr="003F0741" w:rsidRDefault="00885454"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 xml:space="preserve">C. </w:t>
      </w:r>
      <w:r w:rsidR="002D637A" w:rsidRPr="003F0741">
        <w:rPr>
          <w:rFonts w:ascii="Arial" w:hAnsi="Arial" w:cs="Arial"/>
          <w:spacing w:val="-2"/>
          <w:sz w:val="20"/>
          <w:szCs w:val="20"/>
        </w:rPr>
        <w:t>Oy Verme ve Vekil Tayini</w:t>
      </w:r>
    </w:p>
    <w:p w:rsidR="002D637A" w:rsidRPr="002D637A" w:rsidRDefault="002D637A" w:rsidP="003F0741">
      <w:pPr>
        <w:spacing w:before="80" w:after="80" w:line="240" w:lineRule="auto"/>
        <w:jc w:val="both"/>
        <w:rPr>
          <w:rFonts w:ascii="Arial" w:hAnsi="Arial" w:cs="Arial"/>
          <w:spacing w:val="-2"/>
          <w:sz w:val="20"/>
          <w:szCs w:val="20"/>
        </w:rPr>
      </w:pPr>
      <w:r w:rsidRPr="002D637A">
        <w:rPr>
          <w:rFonts w:ascii="Arial" w:hAnsi="Arial" w:cs="Arial"/>
          <w:spacing w:val="-2"/>
          <w:sz w:val="20"/>
          <w:szCs w:val="20"/>
        </w:rPr>
        <w:t>Olağan ve olağanüstü genel kurul toplantılarında, hazır bulunan pay sahiplerinin veya vekillerinin her bir A Grubu pay için 5 (beş) oy hakkı, her bir B Grubu pay için 1 (bir) oy hakkı bulunmaktadır. Genel kurula katılma ve oy kullanma hakkı, pay sahibinin pay sahibi olduğunu kanıtlayan belgeleri veya pay senetlerini Şirket’e, bir kredi kuruluşuna veya başka bir yere depo edilmesi şartına bağlanamaz.</w:t>
      </w:r>
    </w:p>
    <w:p w:rsidR="002D637A" w:rsidRPr="002D637A" w:rsidRDefault="002D637A" w:rsidP="003F0741">
      <w:pPr>
        <w:spacing w:before="80" w:after="80" w:line="240" w:lineRule="auto"/>
        <w:jc w:val="both"/>
        <w:rPr>
          <w:rFonts w:ascii="Arial" w:hAnsi="Arial" w:cs="Arial"/>
          <w:spacing w:val="-2"/>
          <w:sz w:val="20"/>
          <w:szCs w:val="20"/>
        </w:rPr>
      </w:pPr>
      <w:r w:rsidRPr="002D637A">
        <w:rPr>
          <w:rFonts w:ascii="Arial" w:hAnsi="Arial" w:cs="Arial"/>
          <w:spacing w:val="-2"/>
          <w:sz w:val="20"/>
          <w:szCs w:val="20"/>
        </w:rPr>
        <w:t xml:space="preserve">Pay sahibi genel kurul toplantılarına kendisi katılabileceği gibi pay sahibi olan ve olmayan </w:t>
      </w:r>
      <w:r w:rsidR="00E64010" w:rsidRPr="002D637A">
        <w:rPr>
          <w:rFonts w:ascii="Arial" w:hAnsi="Arial" w:cs="Arial"/>
          <w:spacing w:val="-2"/>
          <w:sz w:val="20"/>
          <w:szCs w:val="20"/>
        </w:rPr>
        <w:t>vekâletname</w:t>
      </w:r>
      <w:r w:rsidRPr="002D637A">
        <w:rPr>
          <w:rFonts w:ascii="Arial" w:hAnsi="Arial" w:cs="Arial"/>
          <w:spacing w:val="-2"/>
          <w:sz w:val="20"/>
          <w:szCs w:val="20"/>
        </w:rPr>
        <w:t xml:space="preserve"> ile yetkilendirilmiş bir temsilci de yollayabilir. </w:t>
      </w:r>
      <w:r w:rsidR="00E64010" w:rsidRPr="002D637A">
        <w:rPr>
          <w:rFonts w:ascii="Arial" w:hAnsi="Arial" w:cs="Arial"/>
          <w:spacing w:val="-2"/>
          <w:sz w:val="20"/>
          <w:szCs w:val="20"/>
        </w:rPr>
        <w:t>Vekâletnameler</w:t>
      </w:r>
      <w:r w:rsidRPr="002D637A">
        <w:rPr>
          <w:rFonts w:ascii="Arial" w:hAnsi="Arial" w:cs="Arial"/>
          <w:spacing w:val="-2"/>
          <w:sz w:val="20"/>
          <w:szCs w:val="20"/>
        </w:rPr>
        <w:t xml:space="preserve"> ve </w:t>
      </w:r>
      <w:r w:rsidR="00E64010" w:rsidRPr="002D637A">
        <w:rPr>
          <w:rFonts w:ascii="Arial" w:hAnsi="Arial" w:cs="Arial"/>
          <w:spacing w:val="-2"/>
          <w:sz w:val="20"/>
          <w:szCs w:val="20"/>
        </w:rPr>
        <w:t>vekâleten</w:t>
      </w:r>
      <w:r w:rsidRPr="002D637A">
        <w:rPr>
          <w:rFonts w:ascii="Arial" w:hAnsi="Arial" w:cs="Arial"/>
          <w:spacing w:val="-2"/>
          <w:sz w:val="20"/>
          <w:szCs w:val="20"/>
        </w:rPr>
        <w:t xml:space="preserve"> oy kullanma usul ve esaslarına TTK, sermaye piyasası mevzuatı ve ilgili mevzuat hükümleri uygulanır. Sermaye piyasası mevzuatının </w:t>
      </w:r>
      <w:r w:rsidR="00E64010" w:rsidRPr="002D637A">
        <w:rPr>
          <w:rFonts w:ascii="Arial" w:hAnsi="Arial" w:cs="Arial"/>
          <w:spacing w:val="-2"/>
          <w:sz w:val="20"/>
          <w:szCs w:val="20"/>
        </w:rPr>
        <w:t>vekâleten</w:t>
      </w:r>
      <w:r w:rsidRPr="002D637A">
        <w:rPr>
          <w:rFonts w:ascii="Arial" w:hAnsi="Arial" w:cs="Arial"/>
          <w:spacing w:val="-2"/>
          <w:sz w:val="20"/>
          <w:szCs w:val="20"/>
        </w:rPr>
        <w:t xml:space="preserve"> oy kullanmaya ve önemli nitelikteki işlemlerin müzakeresine ilişkin düzenlemelerine uyulur. TTK’nın oyda imtiyazlı paylara ilişkin hükümlerinde yer alan istisnalar saklıdır.</w:t>
      </w:r>
    </w:p>
    <w:p w:rsidR="002D637A" w:rsidRPr="003F0741" w:rsidRDefault="002D637A"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D</w:t>
      </w:r>
      <w:r w:rsidR="00885454" w:rsidRPr="003F0741">
        <w:rPr>
          <w:rFonts w:ascii="Arial" w:hAnsi="Arial" w:cs="Arial"/>
          <w:spacing w:val="-2"/>
          <w:sz w:val="20"/>
          <w:szCs w:val="20"/>
        </w:rPr>
        <w:t>.</w:t>
      </w:r>
      <w:r w:rsidRPr="003F0741">
        <w:rPr>
          <w:rFonts w:ascii="Arial" w:hAnsi="Arial" w:cs="Arial"/>
          <w:spacing w:val="-2"/>
          <w:sz w:val="20"/>
          <w:szCs w:val="20"/>
        </w:rPr>
        <w:t xml:space="preserve"> </w:t>
      </w:r>
      <w:r w:rsidRPr="003F0741">
        <w:rPr>
          <w:rFonts w:ascii="Arial" w:hAnsi="Arial" w:cs="Arial"/>
          <w:spacing w:val="-2"/>
          <w:sz w:val="20"/>
          <w:szCs w:val="20"/>
        </w:rPr>
        <w:t>Müzakerelerin Yapılması ve Toplantı Nisabı</w:t>
      </w:r>
    </w:p>
    <w:p w:rsidR="002D637A" w:rsidRPr="002D637A" w:rsidRDefault="002D637A" w:rsidP="003F0741">
      <w:pPr>
        <w:spacing w:before="80" w:after="80" w:line="240" w:lineRule="auto"/>
        <w:jc w:val="both"/>
        <w:rPr>
          <w:rFonts w:ascii="Arial" w:hAnsi="Arial" w:cs="Arial"/>
          <w:spacing w:val="-2"/>
          <w:sz w:val="20"/>
          <w:szCs w:val="20"/>
        </w:rPr>
      </w:pPr>
      <w:r w:rsidRPr="002D637A">
        <w:rPr>
          <w:rFonts w:ascii="Arial" w:hAnsi="Arial" w:cs="Arial"/>
          <w:spacing w:val="-2"/>
          <w:sz w:val="20"/>
          <w:szCs w:val="20"/>
        </w:rPr>
        <w:t>Şirket genel kurul toplantılarında, TTK ve sermaye piyasası mevzuatında yazılı hususlar müzakere edilerek gerekli kararlar alınır. SPK’nın genel kurul toplantısında gündeme bağlılık ilkesine uyulmaksızın görüşülmesini veya ortaklara duyurulmasını istediği hususların genel kurul gündemine alınması zorunludur. Genel kurul toplantıları ve bu toplantılardaki karar nisabı, TTK ve sermaye piyasası mevzuatı hükümlerine ve SPK’nın kurumsal yönetim ilkeleri ve sair düzenlemelerine tabidir. Önemli nitelikteki işlemlere taraf olanların ilişkili taraf olması durumunda, genel kurul toplantılarında ilişkili taraflar oy kullanamazlar.</w:t>
      </w:r>
    </w:p>
    <w:p w:rsidR="002D637A" w:rsidRPr="003F0741" w:rsidRDefault="002D637A"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E</w:t>
      </w:r>
      <w:r w:rsidR="00885454" w:rsidRPr="003F0741">
        <w:rPr>
          <w:rFonts w:ascii="Arial" w:hAnsi="Arial" w:cs="Arial"/>
          <w:spacing w:val="-2"/>
          <w:sz w:val="20"/>
          <w:szCs w:val="20"/>
        </w:rPr>
        <w:t>.</w:t>
      </w:r>
      <w:r w:rsidRPr="003F0741">
        <w:rPr>
          <w:rFonts w:ascii="Arial" w:hAnsi="Arial" w:cs="Arial"/>
          <w:spacing w:val="-2"/>
          <w:sz w:val="20"/>
          <w:szCs w:val="20"/>
        </w:rPr>
        <w:t xml:space="preserve"> </w:t>
      </w:r>
      <w:r w:rsidRPr="003F0741">
        <w:rPr>
          <w:rFonts w:ascii="Arial" w:hAnsi="Arial" w:cs="Arial"/>
          <w:spacing w:val="-2"/>
          <w:sz w:val="20"/>
          <w:szCs w:val="20"/>
        </w:rPr>
        <w:t>Toplantı Yeri</w:t>
      </w:r>
    </w:p>
    <w:p w:rsidR="002D637A" w:rsidRDefault="002D637A" w:rsidP="003F0741">
      <w:pPr>
        <w:spacing w:before="80" w:after="80" w:line="240" w:lineRule="auto"/>
        <w:jc w:val="both"/>
        <w:rPr>
          <w:rFonts w:ascii="Arial" w:hAnsi="Arial" w:cs="Arial"/>
          <w:spacing w:val="-2"/>
          <w:sz w:val="20"/>
          <w:szCs w:val="20"/>
        </w:rPr>
      </w:pPr>
      <w:r w:rsidRPr="002D637A">
        <w:rPr>
          <w:rFonts w:ascii="Arial" w:hAnsi="Arial" w:cs="Arial"/>
          <w:spacing w:val="-2"/>
          <w:sz w:val="20"/>
          <w:szCs w:val="20"/>
        </w:rPr>
        <w:t xml:space="preserve">Genel Kurul, Şirket’in merkez adresinde veya yönetim merkezinin bulunduğu şehrin elverişli bir yerinde veya Van ilinde toplanır. </w:t>
      </w:r>
    </w:p>
    <w:p w:rsidR="002D637A" w:rsidRPr="003F0741" w:rsidRDefault="002D637A"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F.</w:t>
      </w:r>
      <w:r w:rsidR="00885454" w:rsidRPr="003F0741">
        <w:rPr>
          <w:rFonts w:ascii="Arial" w:hAnsi="Arial" w:cs="Arial"/>
          <w:spacing w:val="-2"/>
          <w:sz w:val="20"/>
          <w:szCs w:val="20"/>
        </w:rPr>
        <w:t xml:space="preserve"> </w:t>
      </w:r>
      <w:r w:rsidRPr="003F0741">
        <w:rPr>
          <w:rFonts w:ascii="Arial" w:hAnsi="Arial" w:cs="Arial"/>
          <w:spacing w:val="-2"/>
          <w:sz w:val="20"/>
          <w:szCs w:val="20"/>
        </w:rPr>
        <w:t>Toplantıların İşleyişi ve İç Yönerge</w:t>
      </w:r>
    </w:p>
    <w:p w:rsidR="002D637A" w:rsidRPr="002D637A" w:rsidRDefault="002D637A" w:rsidP="003F0741">
      <w:pPr>
        <w:spacing w:before="80" w:after="80" w:line="240" w:lineRule="auto"/>
        <w:jc w:val="both"/>
        <w:rPr>
          <w:rFonts w:ascii="Arial" w:hAnsi="Arial" w:cs="Arial"/>
          <w:spacing w:val="-2"/>
          <w:sz w:val="20"/>
          <w:szCs w:val="20"/>
        </w:rPr>
      </w:pPr>
      <w:r w:rsidRPr="002D637A">
        <w:rPr>
          <w:rFonts w:ascii="Arial" w:hAnsi="Arial" w:cs="Arial"/>
          <w:spacing w:val="-2"/>
          <w:sz w:val="20"/>
          <w:szCs w:val="20"/>
        </w:rPr>
        <w:t>Genel kurul toplantılarının işleyiş şekli, bir iç yönerge ile düzenlenir. Genel kurul toplantılarında, TTK, sermaye piyasası mevzuatı hükümleri ile işbu esas sözleşme ve Şirket'in Genel Kurul Çalışma Esas ve Usulleri Hakkında İç Yönergesi düzenlemeleri uygulanır.</w:t>
      </w:r>
    </w:p>
    <w:p w:rsidR="002D637A" w:rsidRPr="003F0741" w:rsidRDefault="002D637A"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G.</w:t>
      </w:r>
      <w:r w:rsidR="00885454" w:rsidRPr="003F0741">
        <w:rPr>
          <w:rFonts w:ascii="Arial" w:hAnsi="Arial" w:cs="Arial"/>
          <w:spacing w:val="-2"/>
          <w:sz w:val="20"/>
          <w:szCs w:val="20"/>
        </w:rPr>
        <w:t xml:space="preserve"> </w:t>
      </w:r>
      <w:r w:rsidRPr="003F0741">
        <w:rPr>
          <w:rFonts w:ascii="Arial" w:hAnsi="Arial" w:cs="Arial"/>
          <w:spacing w:val="-2"/>
          <w:sz w:val="20"/>
          <w:szCs w:val="20"/>
        </w:rPr>
        <w:t>Bakanlık Temsilcisi</w:t>
      </w:r>
    </w:p>
    <w:p w:rsidR="002D637A" w:rsidRDefault="002D637A" w:rsidP="003F0741">
      <w:pPr>
        <w:spacing w:before="80" w:after="80" w:line="240" w:lineRule="auto"/>
        <w:jc w:val="both"/>
        <w:rPr>
          <w:rFonts w:ascii="Arial" w:hAnsi="Arial" w:cs="Arial"/>
          <w:spacing w:val="-2"/>
          <w:sz w:val="20"/>
          <w:szCs w:val="20"/>
        </w:rPr>
      </w:pPr>
      <w:r w:rsidRPr="002D637A">
        <w:rPr>
          <w:rFonts w:ascii="Arial" w:hAnsi="Arial" w:cs="Arial"/>
          <w:spacing w:val="-2"/>
          <w:sz w:val="20"/>
          <w:szCs w:val="20"/>
        </w:rPr>
        <w:t>Olağan ve olağanüstü genel kurul toplantılarında bakanlık temsilcisi bulunması ve görevleri konusunda TTK ve ilgili mevzuat hükümlerine uyulur.</w:t>
      </w:r>
    </w:p>
    <w:p w:rsidR="002D637A" w:rsidRPr="003F0741" w:rsidRDefault="002D637A"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 xml:space="preserve"> H.</w:t>
      </w:r>
      <w:r w:rsidR="00885454" w:rsidRPr="003F0741">
        <w:rPr>
          <w:rFonts w:ascii="Arial" w:hAnsi="Arial" w:cs="Arial"/>
          <w:spacing w:val="-2"/>
          <w:sz w:val="20"/>
          <w:szCs w:val="20"/>
        </w:rPr>
        <w:t xml:space="preserve"> </w:t>
      </w:r>
      <w:r w:rsidRPr="003F0741">
        <w:rPr>
          <w:rFonts w:ascii="Arial" w:hAnsi="Arial" w:cs="Arial"/>
          <w:spacing w:val="-2"/>
          <w:sz w:val="20"/>
          <w:szCs w:val="20"/>
        </w:rPr>
        <w:t>Genel Kurul Toplantısına Elektronik Ortamda Katılım</w:t>
      </w:r>
    </w:p>
    <w:p w:rsidR="00FF3E4F" w:rsidRDefault="002D637A" w:rsidP="003F0741">
      <w:pPr>
        <w:spacing w:before="80" w:after="80" w:line="240" w:lineRule="auto"/>
        <w:jc w:val="both"/>
        <w:rPr>
          <w:rFonts w:ascii="Arial" w:hAnsi="Arial" w:cs="Arial"/>
          <w:spacing w:val="-2"/>
          <w:sz w:val="20"/>
          <w:szCs w:val="20"/>
        </w:rPr>
      </w:pPr>
      <w:r w:rsidRPr="002D637A">
        <w:rPr>
          <w:rFonts w:ascii="Arial" w:hAnsi="Arial" w:cs="Arial"/>
          <w:spacing w:val="-2"/>
          <w:sz w:val="20"/>
          <w:szCs w:val="20"/>
        </w:rPr>
        <w:t xml:space="preserve">Şirket’in genel kurul toplantılarına katılma hakkı bulunan hak sahipleri bu toplantılara, TTK’nın 1527’nci maddesi uyarınca elektronik ortamda da katılabilir. Şirket, Anonim Şirketlerde Elektronik Ortamda Yapılacak Genel Kurullara İlişkin Yönetmelik Hükümleri uyarınca hak sahiplerinin genel kurul toplantılarına elektronik ortamda katılmalarına, görüş açıklamalarına- öneride bulunmalarına ve oy kullanmalarına imkân tanıyacak elektronik genel kurul sistemini kurabileceği gibi bu amaç için oluşturulmuş sistemlerden de hizmet satın alabilir. Yapılacak tüm genel kurul toplantılarında esas sözleşmenin bu hükmü uyarınca, kurulmuş olan sistem üzerinden hak sahiplerinin ve temsilcilerinin, anılan Yönetmelik </w:t>
      </w:r>
      <w:bookmarkStart w:id="0" w:name="_GoBack"/>
      <w:bookmarkEnd w:id="0"/>
      <w:r w:rsidRPr="002D637A">
        <w:rPr>
          <w:rFonts w:ascii="Arial" w:hAnsi="Arial" w:cs="Arial"/>
          <w:spacing w:val="-2"/>
          <w:sz w:val="20"/>
          <w:szCs w:val="20"/>
        </w:rPr>
        <w:t>hükümlerinde belirtilen haklarını kullanabilmesi sağlanır.</w:t>
      </w:r>
    </w:p>
    <w:p w:rsidR="000F33C2" w:rsidRDefault="000F33C2" w:rsidP="002D637A">
      <w:pPr>
        <w:pStyle w:val="ListeParagraf"/>
        <w:widowControl w:val="0"/>
        <w:tabs>
          <w:tab w:val="left" w:pos="526"/>
        </w:tabs>
        <w:autoSpaceDE w:val="0"/>
        <w:autoSpaceDN w:val="0"/>
        <w:spacing w:before="84" w:after="0" w:line="240" w:lineRule="auto"/>
        <w:ind w:left="0" w:right="140"/>
        <w:contextualSpacing w:val="0"/>
        <w:rPr>
          <w:rFonts w:ascii="Arial" w:hAnsi="Arial" w:cs="Arial"/>
          <w:spacing w:val="-2"/>
          <w:sz w:val="20"/>
          <w:szCs w:val="20"/>
        </w:rPr>
      </w:pPr>
    </w:p>
    <w:p w:rsidR="000F33C2" w:rsidRPr="000F33C2" w:rsidRDefault="000F33C2" w:rsidP="00A25162">
      <w:pPr>
        <w:spacing w:line="240" w:lineRule="auto"/>
        <w:jc w:val="both"/>
        <w:rPr>
          <w:rFonts w:ascii="Arial" w:hAnsi="Arial" w:cs="Arial"/>
          <w:b/>
          <w:bCs/>
          <w:sz w:val="20"/>
          <w:szCs w:val="20"/>
        </w:rPr>
      </w:pPr>
      <w:r w:rsidRPr="000F33C2">
        <w:rPr>
          <w:rFonts w:ascii="Arial" w:hAnsi="Arial" w:cs="Arial"/>
          <w:b/>
          <w:bCs/>
          <w:sz w:val="20"/>
          <w:szCs w:val="20"/>
        </w:rPr>
        <w:t>Madde 11</w:t>
      </w:r>
    </w:p>
    <w:p w:rsidR="000F33C2" w:rsidRDefault="000F33C2" w:rsidP="00A25162">
      <w:pPr>
        <w:spacing w:line="240" w:lineRule="auto"/>
        <w:jc w:val="both"/>
        <w:rPr>
          <w:rFonts w:ascii="Arial" w:hAnsi="Arial" w:cs="Arial"/>
          <w:b/>
          <w:bCs/>
          <w:sz w:val="20"/>
          <w:szCs w:val="20"/>
        </w:rPr>
      </w:pPr>
      <w:r w:rsidRPr="000F33C2">
        <w:rPr>
          <w:rFonts w:ascii="Arial" w:hAnsi="Arial" w:cs="Arial"/>
          <w:b/>
          <w:bCs/>
          <w:sz w:val="20"/>
          <w:szCs w:val="20"/>
        </w:rPr>
        <w:t>BİLGİ VERME, KAMUYU AYDINLATMA VE İLAN</w:t>
      </w:r>
    </w:p>
    <w:p w:rsidR="00A25162" w:rsidRDefault="00A25162" w:rsidP="00A25162">
      <w:pPr>
        <w:pStyle w:val="GvdeMetni"/>
        <w:spacing w:before="92"/>
        <w:jc w:val="both"/>
        <w:rPr>
          <w:rFonts w:eastAsiaTheme="minorHAnsi"/>
          <w:spacing w:val="-2"/>
          <w:sz w:val="20"/>
          <w:szCs w:val="20"/>
        </w:rPr>
      </w:pPr>
      <w:r w:rsidRPr="00A25162">
        <w:rPr>
          <w:rFonts w:eastAsiaTheme="minorHAnsi"/>
          <w:spacing w:val="-2"/>
          <w:sz w:val="20"/>
          <w:szCs w:val="20"/>
        </w:rPr>
        <w:t>Şirket, sermaye piyasası mevzuatında yer alan usul ve esaslar dairesinde SPK’ya bilgi verme yükümlülüklerini yerine getirir. SPK tarafından düzenlenmesi öngörülen finansal tablo ve raporlar ile bağımsız denetim raporları TTK’nın ilgili hükümleri ve sermaye piyasası mevzuatında belirlenen usul ve esaslar dahilinde kamuya duyurulur.</w:t>
      </w:r>
    </w:p>
    <w:p w:rsidR="00123005" w:rsidRDefault="00123005" w:rsidP="00A25162">
      <w:pPr>
        <w:pStyle w:val="GvdeMetni"/>
        <w:spacing w:before="92"/>
        <w:jc w:val="both"/>
        <w:rPr>
          <w:rFonts w:eastAsiaTheme="minorHAnsi"/>
          <w:spacing w:val="-2"/>
          <w:sz w:val="20"/>
          <w:szCs w:val="20"/>
        </w:rPr>
      </w:pPr>
    </w:p>
    <w:p w:rsidR="00A25162" w:rsidRDefault="00A25162" w:rsidP="00A25162">
      <w:pPr>
        <w:pStyle w:val="GvdeMetni"/>
        <w:spacing w:before="1"/>
        <w:jc w:val="both"/>
        <w:rPr>
          <w:rFonts w:eastAsiaTheme="minorHAnsi"/>
          <w:spacing w:val="-2"/>
          <w:sz w:val="20"/>
          <w:szCs w:val="20"/>
        </w:rPr>
      </w:pPr>
      <w:r w:rsidRPr="00A25162">
        <w:rPr>
          <w:rFonts w:eastAsiaTheme="minorHAnsi"/>
          <w:spacing w:val="-2"/>
          <w:sz w:val="20"/>
          <w:szCs w:val="20"/>
        </w:rPr>
        <w:t xml:space="preserve">Şirket’e ait ilanlar, TTK ve sermaye piyasası mevzuatı ve ilgili mevzuat hükümlerine uygun olarak ve belirtilen sürelerde ve zamanında yapılır. SPK’nın düzenlemelerine göre yapılacak özel durum açıklamaları ile SPK tarafından öngörülecek her </w:t>
      </w:r>
      <w:r w:rsidRPr="00A25162">
        <w:rPr>
          <w:rFonts w:eastAsiaTheme="minorHAnsi"/>
          <w:spacing w:val="-2"/>
          <w:sz w:val="20"/>
          <w:szCs w:val="20"/>
        </w:rPr>
        <w:lastRenderedPageBreak/>
        <w:t>türlü açıklamalar, ilgili mevzuata</w:t>
      </w:r>
      <w:r>
        <w:t xml:space="preserve"> </w:t>
      </w:r>
      <w:r w:rsidRPr="00A25162">
        <w:rPr>
          <w:rFonts w:eastAsiaTheme="minorHAnsi"/>
          <w:spacing w:val="-2"/>
          <w:sz w:val="20"/>
          <w:szCs w:val="20"/>
        </w:rPr>
        <w:t>uygun olarak belirtilen sürelerde ve zamanında yapılır.</w:t>
      </w:r>
    </w:p>
    <w:p w:rsidR="003F0741" w:rsidRPr="00A25162" w:rsidRDefault="003F0741" w:rsidP="00A25162">
      <w:pPr>
        <w:pStyle w:val="GvdeMetni"/>
        <w:spacing w:before="1"/>
        <w:jc w:val="both"/>
        <w:rPr>
          <w:rFonts w:eastAsiaTheme="minorHAnsi"/>
          <w:spacing w:val="-2"/>
          <w:sz w:val="20"/>
          <w:szCs w:val="20"/>
        </w:rPr>
      </w:pPr>
    </w:p>
    <w:p w:rsidR="00FF3E4F" w:rsidRDefault="00A25162" w:rsidP="00E57105">
      <w:pPr>
        <w:rPr>
          <w:rFonts w:ascii="Arial" w:hAnsi="Arial" w:cs="Arial"/>
          <w:b/>
          <w:bCs/>
          <w:sz w:val="20"/>
          <w:szCs w:val="20"/>
        </w:rPr>
      </w:pPr>
      <w:r>
        <w:rPr>
          <w:rFonts w:ascii="Arial" w:hAnsi="Arial" w:cs="Arial"/>
          <w:b/>
          <w:bCs/>
          <w:sz w:val="20"/>
          <w:szCs w:val="20"/>
        </w:rPr>
        <w:t>Madde 12</w:t>
      </w:r>
    </w:p>
    <w:p w:rsidR="00A25162" w:rsidRDefault="00A25162" w:rsidP="00E57105">
      <w:pPr>
        <w:rPr>
          <w:rFonts w:ascii="Arial" w:hAnsi="Arial" w:cs="Arial"/>
          <w:b/>
          <w:bCs/>
          <w:sz w:val="20"/>
          <w:szCs w:val="20"/>
        </w:rPr>
      </w:pPr>
      <w:r>
        <w:rPr>
          <w:rFonts w:ascii="Arial" w:hAnsi="Arial" w:cs="Arial"/>
          <w:b/>
          <w:bCs/>
          <w:sz w:val="20"/>
          <w:szCs w:val="20"/>
        </w:rPr>
        <w:t>HESAP DÖNEMİ</w:t>
      </w:r>
    </w:p>
    <w:p w:rsidR="00A25162" w:rsidRDefault="00A25162" w:rsidP="00A25162">
      <w:pPr>
        <w:pStyle w:val="GvdeMetni"/>
        <w:spacing w:before="1"/>
        <w:jc w:val="both"/>
        <w:rPr>
          <w:rFonts w:eastAsiaTheme="minorHAnsi"/>
          <w:spacing w:val="-2"/>
          <w:sz w:val="20"/>
          <w:szCs w:val="20"/>
        </w:rPr>
      </w:pPr>
      <w:r w:rsidRPr="00A25162">
        <w:rPr>
          <w:rFonts w:eastAsiaTheme="minorHAnsi"/>
          <w:spacing w:val="-2"/>
          <w:sz w:val="20"/>
          <w:szCs w:val="20"/>
        </w:rPr>
        <w:t>Şirket hesap yılı Ocak ayının birinci gününden başlar ve Aralık ayının sonuncu günü sona erer.</w:t>
      </w:r>
    </w:p>
    <w:p w:rsidR="00A25162" w:rsidRDefault="00A25162" w:rsidP="00A25162">
      <w:pPr>
        <w:pStyle w:val="GvdeMetni"/>
        <w:spacing w:before="1"/>
        <w:jc w:val="both"/>
        <w:rPr>
          <w:rFonts w:eastAsiaTheme="minorHAnsi"/>
          <w:spacing w:val="-2"/>
          <w:sz w:val="20"/>
          <w:szCs w:val="20"/>
        </w:rPr>
      </w:pPr>
    </w:p>
    <w:p w:rsidR="00A25162" w:rsidRPr="00A25162" w:rsidRDefault="00A25162" w:rsidP="00A25162">
      <w:pPr>
        <w:rPr>
          <w:rFonts w:ascii="Arial" w:hAnsi="Arial" w:cs="Arial"/>
          <w:b/>
          <w:bCs/>
          <w:sz w:val="20"/>
          <w:szCs w:val="20"/>
        </w:rPr>
      </w:pPr>
      <w:r w:rsidRPr="00A25162">
        <w:rPr>
          <w:rFonts w:ascii="Arial" w:hAnsi="Arial" w:cs="Arial"/>
          <w:b/>
          <w:bCs/>
          <w:sz w:val="20"/>
          <w:szCs w:val="20"/>
        </w:rPr>
        <w:t>Madde 13</w:t>
      </w:r>
    </w:p>
    <w:p w:rsidR="00A25162" w:rsidRDefault="00A25162" w:rsidP="00A25162">
      <w:pPr>
        <w:rPr>
          <w:rFonts w:ascii="Arial" w:hAnsi="Arial" w:cs="Arial"/>
          <w:b/>
          <w:bCs/>
          <w:sz w:val="20"/>
          <w:szCs w:val="20"/>
        </w:rPr>
      </w:pPr>
      <w:r w:rsidRPr="00A25162">
        <w:rPr>
          <w:rFonts w:ascii="Arial" w:hAnsi="Arial" w:cs="Arial"/>
          <w:b/>
          <w:bCs/>
          <w:sz w:val="20"/>
          <w:szCs w:val="20"/>
        </w:rPr>
        <w:t>KARIN TESPİTİ VE DAĞITIMI</w:t>
      </w:r>
    </w:p>
    <w:p w:rsidR="00A25162" w:rsidRPr="003F0741" w:rsidRDefault="00A25162"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Şirket kar tespiti ve dağıtımı konusunda TTK ve sermaye piyasası mevzuatı hükümlerine uygun hareket eder.</w:t>
      </w:r>
    </w:p>
    <w:p w:rsidR="00A25162" w:rsidRPr="003F0741" w:rsidRDefault="00A25162"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Şirket’in faaliyet dönemi sonunda tespit edilen gelirlerinden, Şirket’in genel giderleri ile muhtelif amortisman gibi Şirket’çe ödenmesi veya ayrılması zorunlu olan miktarlar ile Şirket tüzel kişiliği tarafından ödenmesi zorunlu vergiler düşüldükten sonra geriye kalan ve yıllık bilançoda görülen dönem karı, varsa geçmiş yıl zararlarının düşülmesinden sonra kalan miktar, sırasıyla aşağıda gösterilen şekilde tevzi olunur:</w:t>
      </w:r>
    </w:p>
    <w:p w:rsidR="00F527D5" w:rsidRPr="003F0741" w:rsidRDefault="00F527D5" w:rsidP="003F0741">
      <w:pPr>
        <w:spacing w:before="80" w:after="80" w:line="240" w:lineRule="auto"/>
        <w:jc w:val="both"/>
        <w:rPr>
          <w:rFonts w:ascii="Arial" w:hAnsi="Arial" w:cs="Arial"/>
          <w:spacing w:val="-2"/>
          <w:sz w:val="20"/>
          <w:szCs w:val="20"/>
          <w:u w:val="single"/>
        </w:rPr>
      </w:pPr>
      <w:r w:rsidRPr="003F0741">
        <w:rPr>
          <w:rFonts w:ascii="Arial" w:hAnsi="Arial" w:cs="Arial"/>
          <w:spacing w:val="-2"/>
          <w:sz w:val="20"/>
          <w:szCs w:val="20"/>
          <w:u w:val="single"/>
        </w:rPr>
        <w:t>Genel Kanuni Yedek Akçe:</w:t>
      </w:r>
    </w:p>
    <w:p w:rsidR="00A25162" w:rsidRPr="00123005" w:rsidRDefault="00F527D5" w:rsidP="00123005">
      <w:pPr>
        <w:pStyle w:val="ListeParagraf"/>
        <w:numPr>
          <w:ilvl w:val="0"/>
          <w:numId w:val="10"/>
        </w:numPr>
        <w:spacing w:before="80" w:after="80" w:line="240" w:lineRule="auto"/>
        <w:jc w:val="both"/>
        <w:rPr>
          <w:rFonts w:ascii="Arial" w:hAnsi="Arial" w:cs="Arial"/>
          <w:spacing w:val="-2"/>
          <w:sz w:val="20"/>
          <w:szCs w:val="20"/>
        </w:rPr>
      </w:pPr>
      <w:r w:rsidRPr="00123005">
        <w:rPr>
          <w:rFonts w:ascii="Arial" w:hAnsi="Arial" w:cs="Arial"/>
          <w:spacing w:val="-2"/>
          <w:sz w:val="20"/>
          <w:szCs w:val="20"/>
        </w:rPr>
        <w:t>Sermayenin yüzde yirmisine ulaşıncaya kadar, yüzde beşi kanuni yedek akçeye ayrılır.</w:t>
      </w:r>
    </w:p>
    <w:p w:rsidR="00F527D5" w:rsidRPr="003F0741" w:rsidRDefault="00F527D5" w:rsidP="003F0741">
      <w:pPr>
        <w:spacing w:before="80" w:after="80" w:line="240" w:lineRule="auto"/>
        <w:jc w:val="both"/>
        <w:rPr>
          <w:rFonts w:ascii="Arial" w:hAnsi="Arial" w:cs="Arial"/>
          <w:spacing w:val="-2"/>
          <w:sz w:val="20"/>
          <w:szCs w:val="20"/>
          <w:u w:val="single"/>
        </w:rPr>
      </w:pPr>
      <w:r w:rsidRPr="003F0741">
        <w:rPr>
          <w:rFonts w:ascii="Arial" w:hAnsi="Arial" w:cs="Arial"/>
          <w:spacing w:val="-2"/>
          <w:sz w:val="20"/>
          <w:szCs w:val="20"/>
          <w:u w:val="single"/>
        </w:rPr>
        <w:t>Birinci Kâr payı:</w:t>
      </w:r>
    </w:p>
    <w:p w:rsidR="00F527D5" w:rsidRPr="00123005" w:rsidRDefault="00F527D5" w:rsidP="00123005">
      <w:pPr>
        <w:pStyle w:val="ListeParagraf"/>
        <w:numPr>
          <w:ilvl w:val="0"/>
          <w:numId w:val="10"/>
        </w:numPr>
        <w:spacing w:before="80" w:after="80" w:line="240" w:lineRule="auto"/>
        <w:jc w:val="both"/>
        <w:rPr>
          <w:rFonts w:ascii="Arial" w:hAnsi="Arial" w:cs="Arial"/>
          <w:spacing w:val="-2"/>
          <w:sz w:val="20"/>
          <w:szCs w:val="20"/>
        </w:rPr>
      </w:pPr>
      <w:r w:rsidRPr="00123005">
        <w:rPr>
          <w:rFonts w:ascii="Arial" w:hAnsi="Arial" w:cs="Arial"/>
          <w:spacing w:val="-2"/>
          <w:sz w:val="20"/>
          <w:szCs w:val="20"/>
        </w:rPr>
        <w:t>Kalandan, varsa yıl içinde yapılan bağış tutarının ilavesi ile bulunacak meblağ üzerinden, Şirket’in kâr dağıtım politikası çerçevesinde TTK ve sermaye piyasası mevzuatına uygun olarak birinci kâr payı ayrılır.</w:t>
      </w:r>
    </w:p>
    <w:p w:rsidR="00F527D5" w:rsidRPr="00123005" w:rsidRDefault="00F527D5" w:rsidP="00123005">
      <w:pPr>
        <w:pStyle w:val="ListeParagraf"/>
        <w:numPr>
          <w:ilvl w:val="0"/>
          <w:numId w:val="10"/>
        </w:numPr>
        <w:spacing w:before="80" w:after="80" w:line="240" w:lineRule="auto"/>
        <w:jc w:val="both"/>
        <w:rPr>
          <w:rFonts w:ascii="Arial" w:hAnsi="Arial" w:cs="Arial"/>
          <w:spacing w:val="-2"/>
          <w:sz w:val="20"/>
          <w:szCs w:val="20"/>
        </w:rPr>
      </w:pPr>
      <w:r w:rsidRPr="00123005">
        <w:rPr>
          <w:rFonts w:ascii="Arial" w:hAnsi="Arial" w:cs="Arial"/>
          <w:spacing w:val="-2"/>
          <w:sz w:val="20"/>
          <w:szCs w:val="20"/>
        </w:rPr>
        <w:t>Yukarıdaki indirimler yapıldıktan sonra, genel kurul, kâr payının, Yönetim Kurulu üyelerine, ortaklık çalışanlarına, pay sahibi dışındaki kişilere dağıtılmasına karar verme hakkına sahiptir.</w:t>
      </w:r>
    </w:p>
    <w:p w:rsidR="00F527D5" w:rsidRPr="003F0741" w:rsidRDefault="00F527D5"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u w:val="single"/>
        </w:rPr>
        <w:t>İkinci Kâr payı</w:t>
      </w:r>
      <w:r w:rsidRPr="003F0741">
        <w:rPr>
          <w:rFonts w:ascii="Arial" w:hAnsi="Arial" w:cs="Arial"/>
          <w:spacing w:val="-2"/>
          <w:sz w:val="20"/>
          <w:szCs w:val="20"/>
        </w:rPr>
        <w:t>:</w:t>
      </w:r>
    </w:p>
    <w:p w:rsidR="00F527D5" w:rsidRPr="003F0741" w:rsidRDefault="00F527D5"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Net dönem kârından, (a), (b) ve (c) bentlerinde belirtilen meblağlar düştükten sonra kalan kısmı, genel kurul, kısmen veya tamamen ikinci kâr payı olarak dağıtmaya veya TTK’nın 521’inci maddesi uyarınca kendi isteği ile ayırdığı yedek akçe olarak ayırmaya yetkilidir.</w:t>
      </w:r>
    </w:p>
    <w:p w:rsidR="00F527D5" w:rsidRPr="003F0741" w:rsidRDefault="00F527D5" w:rsidP="003F0741">
      <w:pPr>
        <w:spacing w:before="80" w:after="80" w:line="240" w:lineRule="auto"/>
        <w:jc w:val="both"/>
        <w:rPr>
          <w:rFonts w:ascii="Arial" w:hAnsi="Arial" w:cs="Arial"/>
          <w:spacing w:val="-2"/>
          <w:sz w:val="20"/>
          <w:szCs w:val="20"/>
          <w:u w:val="single"/>
        </w:rPr>
      </w:pPr>
      <w:r w:rsidRPr="003F0741">
        <w:rPr>
          <w:rFonts w:ascii="Arial" w:hAnsi="Arial" w:cs="Arial"/>
          <w:spacing w:val="-2"/>
          <w:sz w:val="20"/>
          <w:szCs w:val="20"/>
          <w:u w:val="single"/>
        </w:rPr>
        <w:t>Genel Kanuni Yedek Akçe:</w:t>
      </w:r>
    </w:p>
    <w:p w:rsidR="00F527D5" w:rsidRPr="003F0741" w:rsidRDefault="00F527D5"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Pay sahipleriyle kâra iştirak eden diğer kimselere dağıtılması kararlaştırılmış olan kısımdan, sermayenin %5’i oranında kâr payı düşüldükten sonra bulunan tutarın yüzde onu, TTK’nın 519’uncu maddesinin ikinci fıkrası uyarınca genel kanuni yedek akçeye eklenir.</w:t>
      </w:r>
    </w:p>
    <w:p w:rsidR="00F527D5" w:rsidRPr="003F0741" w:rsidRDefault="00F527D5"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 xml:space="preserve">TTK’ya göre ayrılması gereken yedek akçeler ile Esas </w:t>
      </w:r>
      <w:r w:rsidR="00E64010" w:rsidRPr="003F0741">
        <w:rPr>
          <w:rFonts w:ascii="Arial" w:hAnsi="Arial" w:cs="Arial"/>
          <w:spacing w:val="-2"/>
          <w:sz w:val="20"/>
          <w:szCs w:val="20"/>
        </w:rPr>
        <w:t>Sözleşme ‘de</w:t>
      </w:r>
      <w:r w:rsidRPr="003F0741">
        <w:rPr>
          <w:rFonts w:ascii="Arial" w:hAnsi="Arial" w:cs="Arial"/>
          <w:spacing w:val="-2"/>
          <w:sz w:val="20"/>
          <w:szCs w:val="20"/>
        </w:rPr>
        <w:t xml:space="preserve"> veya kâr dağıtım politikasında pay sahipleri için belirlenen kâr payı ayrılmadıkça; başka yedek akçe ayrılmasına, ertesi yıla kâr aktarılmasına, Yönetim Kurulu üyelerine, ortaklık çalışanlarına ve pay sahibi dışındaki kişilere kârdan pay dağıtılmasına karar verilemeyeceği gibi, pay sahipleri için belirlenen kâr payı nakden ödenmedikçe bu kişilere kârdan pay dağıtılamaz.</w:t>
      </w:r>
    </w:p>
    <w:p w:rsidR="00F527D5" w:rsidRPr="003F0741" w:rsidRDefault="00F527D5"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Kâr payı, dağıtım tarihi itibarıyla mevcut payların tümüne, bunların ihraç ve iktisap tarihleri dikkate alınmaksızın eşit olarak dağıtılır.</w:t>
      </w:r>
    </w:p>
    <w:p w:rsidR="00F527D5" w:rsidRPr="003F0741" w:rsidRDefault="00F527D5"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Dağıtılmasına karar verilen kârın dağıtım şekli ve zamanı, Yönetim Kurulu’nun bu konudaki teklifi üzerine genel kurulca kararlaştırılır.</w:t>
      </w:r>
    </w:p>
    <w:p w:rsidR="00F527D5" w:rsidRPr="003F0741" w:rsidRDefault="00F527D5"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İşbu Esas Sözleşme hükümlerine göre genel kurul tarafından verilen kâr dağıtım kararı geri alınamaz.</w:t>
      </w:r>
    </w:p>
    <w:p w:rsidR="00F527D5" w:rsidRPr="00F527D5" w:rsidRDefault="00F527D5" w:rsidP="00F527D5">
      <w:pPr>
        <w:rPr>
          <w:rFonts w:ascii="Arial" w:hAnsi="Arial" w:cs="Arial"/>
          <w:b/>
          <w:bCs/>
          <w:sz w:val="20"/>
          <w:szCs w:val="20"/>
        </w:rPr>
      </w:pPr>
      <w:r w:rsidRPr="00F527D5">
        <w:rPr>
          <w:rFonts w:ascii="Arial" w:hAnsi="Arial" w:cs="Arial"/>
          <w:b/>
          <w:bCs/>
          <w:sz w:val="20"/>
          <w:szCs w:val="20"/>
        </w:rPr>
        <w:t>Madde 14</w:t>
      </w:r>
    </w:p>
    <w:p w:rsidR="00F527D5" w:rsidRDefault="00F527D5" w:rsidP="00F527D5">
      <w:pPr>
        <w:rPr>
          <w:rFonts w:ascii="Arial" w:hAnsi="Arial" w:cs="Arial"/>
          <w:b/>
          <w:bCs/>
          <w:sz w:val="20"/>
          <w:szCs w:val="20"/>
        </w:rPr>
      </w:pPr>
      <w:r w:rsidRPr="00F527D5">
        <w:rPr>
          <w:rFonts w:ascii="Arial" w:hAnsi="Arial" w:cs="Arial"/>
          <w:b/>
          <w:bCs/>
          <w:sz w:val="20"/>
          <w:szCs w:val="20"/>
        </w:rPr>
        <w:t>KAR PAYI AVANSI</w:t>
      </w:r>
    </w:p>
    <w:p w:rsidR="00ED5BD7" w:rsidRDefault="00ED5BD7" w:rsidP="00ED5BD7">
      <w:pPr>
        <w:pStyle w:val="GvdeMetni"/>
        <w:spacing w:before="1"/>
        <w:jc w:val="both"/>
        <w:rPr>
          <w:rFonts w:eastAsiaTheme="minorHAnsi"/>
          <w:spacing w:val="-2"/>
          <w:sz w:val="20"/>
          <w:szCs w:val="20"/>
        </w:rPr>
      </w:pPr>
      <w:r w:rsidRPr="00ED5BD7">
        <w:rPr>
          <w:rFonts w:eastAsiaTheme="minorHAnsi"/>
          <w:spacing w:val="-2"/>
          <w:sz w:val="20"/>
          <w:szCs w:val="20"/>
        </w:rPr>
        <w:t xml:space="preserve">Genel Kurul, SPKn ve ilgili diğer mevzuat hükümleri çerçevesinde pay sahiplerine kâr payı avansı dağıtılmasına karar verebilir. Kâr payı avansı tutarının hesaplanmasında ve dağıtımında ilgili mevzuat hükümlerine uyulur. Kâr payı avansı dağıtılabilmesi için genel kurul kararı </w:t>
      </w:r>
      <w:r w:rsidR="00E64010" w:rsidRPr="00ED5BD7">
        <w:rPr>
          <w:rFonts w:eastAsiaTheme="minorHAnsi"/>
          <w:spacing w:val="-2"/>
          <w:sz w:val="20"/>
          <w:szCs w:val="20"/>
        </w:rPr>
        <w:t>ile</w:t>
      </w:r>
      <w:r w:rsidRPr="00ED5BD7">
        <w:rPr>
          <w:rFonts w:eastAsiaTheme="minorHAnsi"/>
          <w:spacing w:val="-2"/>
          <w:sz w:val="20"/>
          <w:szCs w:val="20"/>
        </w:rPr>
        <w:t xml:space="preserve"> ilgili hesap dönemi ile sınırlı olmak üzere, Yönetim Kurulu’na yetki verilmesi zorunludur.</w:t>
      </w:r>
    </w:p>
    <w:p w:rsidR="00ED5BD7" w:rsidRDefault="00ED5BD7" w:rsidP="00ED5BD7">
      <w:pPr>
        <w:pStyle w:val="GvdeMetni"/>
        <w:spacing w:before="1"/>
        <w:jc w:val="both"/>
        <w:rPr>
          <w:rFonts w:eastAsiaTheme="minorHAnsi"/>
          <w:spacing w:val="-2"/>
          <w:sz w:val="20"/>
          <w:szCs w:val="20"/>
        </w:rPr>
      </w:pPr>
    </w:p>
    <w:p w:rsidR="00ED5BD7" w:rsidRPr="00ED5BD7" w:rsidRDefault="00ED5BD7" w:rsidP="00ED5BD7">
      <w:pPr>
        <w:rPr>
          <w:rFonts w:ascii="Arial" w:hAnsi="Arial" w:cs="Arial"/>
          <w:b/>
          <w:bCs/>
          <w:sz w:val="20"/>
          <w:szCs w:val="20"/>
        </w:rPr>
      </w:pPr>
      <w:r w:rsidRPr="00ED5BD7">
        <w:rPr>
          <w:rFonts w:ascii="Arial" w:hAnsi="Arial" w:cs="Arial"/>
          <w:b/>
          <w:bCs/>
          <w:sz w:val="20"/>
          <w:szCs w:val="20"/>
        </w:rPr>
        <w:t>Madde 15</w:t>
      </w:r>
    </w:p>
    <w:p w:rsidR="00ED5BD7" w:rsidRDefault="00ED5BD7" w:rsidP="00ED5BD7">
      <w:pPr>
        <w:rPr>
          <w:rFonts w:ascii="Arial" w:hAnsi="Arial" w:cs="Arial"/>
          <w:b/>
          <w:bCs/>
          <w:sz w:val="20"/>
          <w:szCs w:val="20"/>
        </w:rPr>
      </w:pPr>
      <w:r w:rsidRPr="00ED5BD7">
        <w:rPr>
          <w:rFonts w:ascii="Arial" w:hAnsi="Arial" w:cs="Arial"/>
          <w:b/>
          <w:bCs/>
          <w:sz w:val="20"/>
          <w:szCs w:val="20"/>
        </w:rPr>
        <w:t>KURUMSAL YÖNETİM İLKELERİNE UYUM</w:t>
      </w:r>
    </w:p>
    <w:p w:rsidR="00CC0056" w:rsidRPr="00CC0056" w:rsidRDefault="00CC0056" w:rsidP="00CC0056">
      <w:pPr>
        <w:pStyle w:val="GvdeMetni"/>
        <w:spacing w:before="1"/>
        <w:jc w:val="both"/>
        <w:rPr>
          <w:rFonts w:eastAsiaTheme="minorHAnsi"/>
          <w:spacing w:val="-2"/>
          <w:sz w:val="20"/>
          <w:szCs w:val="20"/>
        </w:rPr>
      </w:pPr>
      <w:r w:rsidRPr="00CC0056">
        <w:rPr>
          <w:rFonts w:eastAsiaTheme="minorHAnsi"/>
          <w:spacing w:val="-2"/>
          <w:sz w:val="20"/>
          <w:szCs w:val="20"/>
        </w:rPr>
        <w:t xml:space="preserve">SPK tarafından uygulaması zorunlu tutulan Kurumsal Yönetim İlkeleri’ne uyulur. Zorunlu ilkelere uyulmaksızın yapılan işlemler ve alınan Yönetim Kurulu kararları geçersiz olup Esas </w:t>
      </w:r>
      <w:r w:rsidR="00E64010" w:rsidRPr="00CC0056">
        <w:rPr>
          <w:rFonts w:eastAsiaTheme="minorHAnsi"/>
          <w:spacing w:val="-2"/>
          <w:sz w:val="20"/>
          <w:szCs w:val="20"/>
        </w:rPr>
        <w:t>Sözleşme ’ye</w:t>
      </w:r>
      <w:r w:rsidRPr="00CC0056">
        <w:rPr>
          <w:rFonts w:eastAsiaTheme="minorHAnsi"/>
          <w:spacing w:val="-2"/>
          <w:sz w:val="20"/>
          <w:szCs w:val="20"/>
        </w:rPr>
        <w:t xml:space="preserve"> aykırı sayılır.</w:t>
      </w:r>
    </w:p>
    <w:p w:rsidR="00CC0056" w:rsidRPr="00CC0056" w:rsidRDefault="00CC0056" w:rsidP="00CC0056">
      <w:pPr>
        <w:pStyle w:val="GvdeMetni"/>
        <w:spacing w:before="1"/>
        <w:jc w:val="both"/>
        <w:rPr>
          <w:rFonts w:eastAsiaTheme="minorHAnsi"/>
          <w:spacing w:val="-2"/>
          <w:sz w:val="20"/>
          <w:szCs w:val="20"/>
        </w:rPr>
      </w:pPr>
    </w:p>
    <w:p w:rsidR="00CC0056" w:rsidRDefault="00CC0056" w:rsidP="00CC0056">
      <w:pPr>
        <w:pStyle w:val="GvdeMetni"/>
        <w:spacing w:before="1"/>
        <w:jc w:val="both"/>
        <w:rPr>
          <w:rFonts w:eastAsiaTheme="minorHAnsi"/>
          <w:spacing w:val="-2"/>
          <w:sz w:val="20"/>
          <w:szCs w:val="20"/>
        </w:rPr>
      </w:pPr>
      <w:r w:rsidRPr="00CC0056">
        <w:rPr>
          <w:rFonts w:eastAsiaTheme="minorHAnsi"/>
          <w:spacing w:val="-2"/>
          <w:sz w:val="20"/>
          <w:szCs w:val="20"/>
        </w:rPr>
        <w:t>Kurumsal Yönetim İlkelerinin uygulanması bakımından önemli nitelikte sayılan işlemlerde ve Şirket’in ilişkili taraf işlemlerinde ve Şirket’in kendi adına ve üçüncü kişiler lehine garanti, kefalet, teminat vermesi veya rehin hakkı tesis etmesi ve ipotek verilmesine ilişkin işlemlerde, Yönetim Kurulu’nda görev alacak bağımsız üyelerin sayısı ve niteliklerinin belirlenmesinde sermaye piyasası mevzuatı çerçevesinde belirlenen esaslara uyulur.</w:t>
      </w:r>
    </w:p>
    <w:p w:rsidR="00CC0056" w:rsidRDefault="00CC0056" w:rsidP="00CC0056">
      <w:pPr>
        <w:pStyle w:val="GvdeMetni"/>
        <w:spacing w:before="1"/>
        <w:jc w:val="both"/>
        <w:rPr>
          <w:rFonts w:eastAsiaTheme="minorHAnsi"/>
          <w:spacing w:val="-2"/>
          <w:sz w:val="20"/>
          <w:szCs w:val="20"/>
        </w:rPr>
      </w:pPr>
    </w:p>
    <w:p w:rsidR="00CC0056" w:rsidRPr="00CC0056" w:rsidRDefault="00CC0056" w:rsidP="00CC0056">
      <w:pPr>
        <w:rPr>
          <w:rFonts w:ascii="Arial" w:hAnsi="Arial" w:cs="Arial"/>
          <w:b/>
          <w:bCs/>
          <w:sz w:val="20"/>
          <w:szCs w:val="20"/>
        </w:rPr>
      </w:pPr>
      <w:r w:rsidRPr="00CC0056">
        <w:rPr>
          <w:rFonts w:ascii="Arial" w:hAnsi="Arial" w:cs="Arial"/>
          <w:b/>
          <w:bCs/>
          <w:sz w:val="20"/>
          <w:szCs w:val="20"/>
        </w:rPr>
        <w:lastRenderedPageBreak/>
        <w:t>Madde 16</w:t>
      </w:r>
    </w:p>
    <w:p w:rsidR="00CC0056" w:rsidRDefault="00CC0056" w:rsidP="00CC0056">
      <w:pPr>
        <w:rPr>
          <w:rFonts w:ascii="Arial" w:hAnsi="Arial" w:cs="Arial"/>
          <w:b/>
          <w:bCs/>
          <w:sz w:val="20"/>
          <w:szCs w:val="20"/>
        </w:rPr>
      </w:pPr>
      <w:r w:rsidRPr="00CC0056">
        <w:rPr>
          <w:rFonts w:ascii="Arial" w:hAnsi="Arial" w:cs="Arial"/>
          <w:b/>
          <w:bCs/>
          <w:sz w:val="20"/>
          <w:szCs w:val="20"/>
        </w:rPr>
        <w:t>BAĞIMSIZ DENETİM</w:t>
      </w:r>
    </w:p>
    <w:p w:rsidR="0009162D" w:rsidRPr="0009162D" w:rsidRDefault="0009162D" w:rsidP="00123005">
      <w:pPr>
        <w:pStyle w:val="GvdeMetni"/>
        <w:spacing w:before="1"/>
        <w:jc w:val="both"/>
        <w:rPr>
          <w:rFonts w:eastAsiaTheme="minorHAnsi"/>
          <w:spacing w:val="-2"/>
          <w:sz w:val="20"/>
          <w:szCs w:val="20"/>
        </w:rPr>
      </w:pPr>
      <w:r w:rsidRPr="0009162D">
        <w:rPr>
          <w:rFonts w:eastAsiaTheme="minorHAnsi"/>
          <w:spacing w:val="-2"/>
          <w:sz w:val="20"/>
          <w:szCs w:val="20"/>
        </w:rPr>
        <w:t>Şirket’in finansal raporlarının ve mevzuatta öngörülen diğer hususların denetimi ve denetçi hakkında TTK, sermaye piyasası mevzuatı ve ilgili mevzuat hükümleri uygulanır.</w:t>
      </w:r>
    </w:p>
    <w:p w:rsidR="0009162D" w:rsidRDefault="0009162D" w:rsidP="00CC0056">
      <w:pPr>
        <w:rPr>
          <w:rFonts w:ascii="Arial" w:hAnsi="Arial" w:cs="Arial"/>
          <w:spacing w:val="-2"/>
          <w:sz w:val="20"/>
          <w:szCs w:val="20"/>
        </w:rPr>
      </w:pPr>
    </w:p>
    <w:p w:rsidR="0009162D" w:rsidRPr="007F5F3B" w:rsidRDefault="007F5F3B" w:rsidP="00CC0056">
      <w:pPr>
        <w:rPr>
          <w:rFonts w:ascii="Arial" w:hAnsi="Arial" w:cs="Arial"/>
          <w:b/>
          <w:bCs/>
          <w:sz w:val="20"/>
          <w:szCs w:val="20"/>
        </w:rPr>
      </w:pPr>
      <w:r w:rsidRPr="007F5F3B">
        <w:rPr>
          <w:rFonts w:ascii="Arial" w:hAnsi="Arial" w:cs="Arial"/>
          <w:b/>
          <w:bCs/>
          <w:sz w:val="20"/>
          <w:szCs w:val="20"/>
        </w:rPr>
        <w:t>Madde 17</w:t>
      </w:r>
    </w:p>
    <w:p w:rsidR="007F5F3B" w:rsidRDefault="007F5F3B" w:rsidP="00CC0056">
      <w:pPr>
        <w:rPr>
          <w:rFonts w:ascii="Arial" w:hAnsi="Arial" w:cs="Arial"/>
          <w:b/>
          <w:bCs/>
          <w:sz w:val="20"/>
          <w:szCs w:val="20"/>
        </w:rPr>
      </w:pPr>
      <w:r w:rsidRPr="007F5F3B">
        <w:rPr>
          <w:rFonts w:ascii="Arial" w:hAnsi="Arial" w:cs="Arial"/>
          <w:b/>
          <w:bCs/>
          <w:sz w:val="20"/>
          <w:szCs w:val="20"/>
        </w:rPr>
        <w:t xml:space="preserve">SERMAYE PİYASASI ARACI İHRACI </w:t>
      </w:r>
    </w:p>
    <w:p w:rsidR="007F5F3B" w:rsidRDefault="007F5F3B" w:rsidP="003F0741">
      <w:pPr>
        <w:pStyle w:val="GvdeMetni"/>
        <w:spacing w:before="1"/>
        <w:jc w:val="both"/>
        <w:rPr>
          <w:rFonts w:eastAsiaTheme="minorHAnsi"/>
          <w:spacing w:val="-2"/>
          <w:sz w:val="20"/>
          <w:szCs w:val="20"/>
        </w:rPr>
      </w:pPr>
      <w:r w:rsidRPr="007F5F3B">
        <w:rPr>
          <w:rFonts w:eastAsiaTheme="minorHAnsi"/>
          <w:spacing w:val="-2"/>
          <w:sz w:val="20"/>
          <w:szCs w:val="20"/>
        </w:rPr>
        <w:t>Şirket yurt içinde ve yurt dışında gerçek veya tüzel kişilere satılmak üzere TTK, sermaye piyasası mevzuatı ve yürürlükteki sair mevzuat hükümlerine uygun olarak sermaye piyasası araçları ihraç edebilir. Kira sertifikası ihraçlarında sermaye piyasası mevzuatında belirtilen şartları taşıması halinde kaynak kuruluş ve/veya fon kullanıcısı sıfatıyla yer alabilir.</w:t>
      </w:r>
    </w:p>
    <w:p w:rsidR="00305810" w:rsidRPr="007F5F3B" w:rsidRDefault="00305810" w:rsidP="003F0741">
      <w:pPr>
        <w:pStyle w:val="GvdeMetni"/>
        <w:spacing w:before="1"/>
        <w:jc w:val="both"/>
        <w:rPr>
          <w:rFonts w:eastAsiaTheme="minorHAnsi"/>
          <w:spacing w:val="-2"/>
          <w:sz w:val="20"/>
          <w:szCs w:val="20"/>
        </w:rPr>
      </w:pPr>
    </w:p>
    <w:p w:rsidR="007F5F3B" w:rsidRDefault="007F5F3B" w:rsidP="003F0741">
      <w:pPr>
        <w:pStyle w:val="GvdeMetni"/>
        <w:spacing w:before="1"/>
        <w:jc w:val="both"/>
        <w:rPr>
          <w:rFonts w:eastAsiaTheme="minorHAnsi"/>
          <w:spacing w:val="-2"/>
          <w:sz w:val="20"/>
          <w:szCs w:val="20"/>
        </w:rPr>
      </w:pPr>
      <w:r w:rsidRPr="007F5F3B">
        <w:rPr>
          <w:rFonts w:eastAsiaTheme="minorHAnsi"/>
          <w:spacing w:val="-2"/>
          <w:sz w:val="20"/>
          <w:szCs w:val="20"/>
        </w:rPr>
        <w:t>Şirket’in sermaye piyasası mevzuatı ve ilgili diğer mevzuat hükümlerine uygun olarak tahvil, finansman bonosu ve borçlanma aracı niteliğindeki diğer sermaye piyasası araçları ihraç etmesi hususunda Yönetim Kurulu süresiz olarak yetkilidir.</w:t>
      </w:r>
    </w:p>
    <w:p w:rsidR="007F5F3B" w:rsidRDefault="007F5F3B" w:rsidP="007F5F3B">
      <w:pPr>
        <w:pStyle w:val="GvdeMetni"/>
        <w:spacing w:before="92"/>
        <w:ind w:left="100"/>
        <w:rPr>
          <w:rFonts w:eastAsiaTheme="minorHAnsi"/>
          <w:spacing w:val="-2"/>
          <w:sz w:val="20"/>
          <w:szCs w:val="20"/>
        </w:rPr>
      </w:pPr>
    </w:p>
    <w:p w:rsidR="007F5F3B" w:rsidRPr="007F5F3B" w:rsidRDefault="007F5F3B" w:rsidP="00C12B69">
      <w:pPr>
        <w:spacing w:line="240" w:lineRule="auto"/>
        <w:rPr>
          <w:rFonts w:ascii="Arial" w:hAnsi="Arial" w:cs="Arial"/>
          <w:b/>
          <w:bCs/>
          <w:sz w:val="20"/>
          <w:szCs w:val="20"/>
        </w:rPr>
      </w:pPr>
      <w:r w:rsidRPr="007F5F3B">
        <w:rPr>
          <w:rFonts w:ascii="Arial" w:hAnsi="Arial" w:cs="Arial"/>
          <w:b/>
          <w:bCs/>
          <w:sz w:val="20"/>
          <w:szCs w:val="20"/>
        </w:rPr>
        <w:t>Madde 18</w:t>
      </w:r>
    </w:p>
    <w:p w:rsidR="007F5F3B" w:rsidRDefault="007F5F3B" w:rsidP="00C12B69">
      <w:pPr>
        <w:spacing w:line="240" w:lineRule="auto"/>
        <w:rPr>
          <w:rFonts w:ascii="Arial" w:hAnsi="Arial" w:cs="Arial"/>
          <w:b/>
          <w:bCs/>
          <w:sz w:val="20"/>
          <w:szCs w:val="20"/>
        </w:rPr>
      </w:pPr>
      <w:r w:rsidRPr="007F5F3B">
        <w:rPr>
          <w:rFonts w:ascii="Arial" w:hAnsi="Arial" w:cs="Arial"/>
          <w:b/>
          <w:bCs/>
          <w:sz w:val="20"/>
          <w:szCs w:val="20"/>
        </w:rPr>
        <w:t xml:space="preserve">PAYLARIN DEVRİ </w:t>
      </w:r>
    </w:p>
    <w:p w:rsidR="00A84343" w:rsidRPr="003F0741" w:rsidRDefault="00A84343"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 xml:space="preserve">Şirket paylarının devri, TTK, sermaye piyasası mevzuatı ve ilgili mevzuata </w:t>
      </w:r>
      <w:r w:rsidRPr="003F0741">
        <w:rPr>
          <w:rFonts w:ascii="Arial" w:hAnsi="Arial" w:cs="Arial"/>
          <w:spacing w:val="-2"/>
          <w:sz w:val="20"/>
          <w:szCs w:val="20"/>
        </w:rPr>
        <w:t>gö</w:t>
      </w:r>
      <w:r w:rsidRPr="003F0741">
        <w:rPr>
          <w:rFonts w:ascii="Arial" w:hAnsi="Arial" w:cs="Arial"/>
          <w:spacing w:val="-2"/>
          <w:sz w:val="20"/>
          <w:szCs w:val="20"/>
        </w:rPr>
        <w:t>re gerçekleştirilir.</w:t>
      </w:r>
    </w:p>
    <w:p w:rsidR="00A84343" w:rsidRPr="00305810" w:rsidRDefault="00A84343" w:rsidP="00305810">
      <w:pPr>
        <w:pStyle w:val="ListeParagraf"/>
        <w:numPr>
          <w:ilvl w:val="0"/>
          <w:numId w:val="11"/>
        </w:numPr>
        <w:spacing w:before="80" w:after="80" w:line="240" w:lineRule="auto"/>
        <w:jc w:val="both"/>
        <w:rPr>
          <w:rFonts w:ascii="Arial" w:hAnsi="Arial" w:cs="Arial"/>
          <w:spacing w:val="-2"/>
          <w:sz w:val="20"/>
          <w:szCs w:val="20"/>
          <w:u w:val="single"/>
        </w:rPr>
      </w:pPr>
      <w:r w:rsidRPr="00305810">
        <w:rPr>
          <w:rFonts w:ascii="Arial" w:hAnsi="Arial" w:cs="Arial"/>
          <w:spacing w:val="-2"/>
          <w:sz w:val="20"/>
          <w:szCs w:val="20"/>
          <w:u w:val="single"/>
        </w:rPr>
        <w:t>A Grubu payların devri:</w:t>
      </w:r>
    </w:p>
    <w:p w:rsidR="00A84343" w:rsidRPr="003F0741" w:rsidRDefault="00A84343"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A grubu paylar ve bu paylara ait yeni pay alma hakları ancak Şirket’in onayı ile devredilebilir.</w:t>
      </w:r>
    </w:p>
    <w:p w:rsidR="00A84343" w:rsidRDefault="00A84343"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 xml:space="preserve">A grubu pay sahipleri kendi paylarını, aynı grup paylara sahip diğer pay sahiplerine, doğrudan veya dolaylı iştiraklerine ve bağlı iştiraklerine, Şirket’in A grubu pay sahiplerinin birinci derece yakınlarına serbestçe devredebilirler ya da onlar lehine payları üzerinde intifa hakkı tesis edebilirler. Bunların dışındaki üçüncü kişi alıcıya (“Potansiyel Alıcı”), Potansiyel Alıcı’nın piyasa koşullarına uygun olarak teklif ettiği fiyat ve diğer satış koşulları (“Teklif Fiyatı ve Şartları”) ile devretmek isteyen bir pay sahibi (“Devreden”) olması halinde TTK’nın 493’üncü maddesi uyarınca Şirket, önemli sebeplerden birini (“Önemli Sebep”) ileri sürerek veya </w:t>
      </w:r>
      <w:r w:rsidR="00E64010" w:rsidRPr="003F0741">
        <w:rPr>
          <w:rFonts w:ascii="Arial" w:hAnsi="Arial" w:cs="Arial"/>
          <w:spacing w:val="-2"/>
          <w:sz w:val="20"/>
          <w:szCs w:val="20"/>
        </w:rPr>
        <w:t>Devredene</w:t>
      </w:r>
      <w:r w:rsidRPr="003F0741">
        <w:rPr>
          <w:rFonts w:ascii="Arial" w:hAnsi="Arial" w:cs="Arial"/>
          <w:spacing w:val="-2"/>
          <w:sz w:val="20"/>
          <w:szCs w:val="20"/>
        </w:rPr>
        <w:t>, paylarını başvurma anındaki gerçek değeriyle satın almayı önererek pay devirleri ve intifa hakkı tesisleri hakkındaki onay istemlerini reddedebilir.</w:t>
      </w:r>
    </w:p>
    <w:p w:rsidR="00305810" w:rsidRPr="003F0741" w:rsidRDefault="00305810" w:rsidP="003F0741">
      <w:pPr>
        <w:spacing w:before="80" w:after="80" w:line="240" w:lineRule="auto"/>
        <w:jc w:val="both"/>
        <w:rPr>
          <w:rFonts w:ascii="Arial" w:hAnsi="Arial" w:cs="Arial"/>
          <w:spacing w:val="-2"/>
          <w:sz w:val="20"/>
          <w:szCs w:val="20"/>
        </w:rPr>
      </w:pPr>
    </w:p>
    <w:p w:rsidR="00A84343" w:rsidRPr="003F0741" w:rsidRDefault="00A84343"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Aşağıdaki hususlar önemli sebep kabul edilir:</w:t>
      </w:r>
    </w:p>
    <w:p w:rsidR="00A84343" w:rsidRPr="003F0741" w:rsidRDefault="00A84343" w:rsidP="003F0741">
      <w:pPr>
        <w:spacing w:before="80" w:after="80" w:line="240" w:lineRule="auto"/>
        <w:jc w:val="both"/>
        <w:rPr>
          <w:rFonts w:ascii="Arial" w:hAnsi="Arial" w:cs="Arial"/>
          <w:spacing w:val="-2"/>
          <w:sz w:val="20"/>
          <w:szCs w:val="20"/>
        </w:rPr>
      </w:pPr>
    </w:p>
    <w:p w:rsidR="00A84343" w:rsidRPr="00305810" w:rsidRDefault="00A84343" w:rsidP="00305810">
      <w:pPr>
        <w:pStyle w:val="ListeParagraf"/>
        <w:numPr>
          <w:ilvl w:val="0"/>
          <w:numId w:val="12"/>
        </w:numPr>
        <w:spacing w:before="80" w:after="80" w:line="240" w:lineRule="auto"/>
        <w:jc w:val="both"/>
        <w:rPr>
          <w:rFonts w:ascii="Arial" w:hAnsi="Arial" w:cs="Arial"/>
          <w:spacing w:val="-2"/>
          <w:sz w:val="20"/>
          <w:szCs w:val="20"/>
        </w:rPr>
      </w:pPr>
      <w:r w:rsidRPr="00305810">
        <w:rPr>
          <w:rFonts w:ascii="Arial" w:hAnsi="Arial" w:cs="Arial"/>
          <w:spacing w:val="-2"/>
          <w:sz w:val="20"/>
          <w:szCs w:val="20"/>
        </w:rPr>
        <w:t>Şirket’in, işbu madde hükmünün kabul edildiği genel kurul toplantısındaki ortaklık yapısı dikkate alınarak, ortakların kişisel mahiyetleri ve birbirleri ile olan ilişkileri Şirket’in konusunu gerçekleştirmesi açısından önemli sebep arz ettiğinden, bu kişilerin dışındaki üçüncü kişilerin pay veya intifa hakkı iktisap etmek istemesi;</w:t>
      </w:r>
    </w:p>
    <w:p w:rsidR="00A84343" w:rsidRPr="003F0741" w:rsidRDefault="00A84343" w:rsidP="003F0741">
      <w:pPr>
        <w:spacing w:before="80" w:after="80" w:line="240" w:lineRule="auto"/>
        <w:jc w:val="both"/>
        <w:rPr>
          <w:rFonts w:ascii="Arial" w:hAnsi="Arial" w:cs="Arial"/>
          <w:spacing w:val="-2"/>
          <w:sz w:val="20"/>
          <w:szCs w:val="20"/>
        </w:rPr>
      </w:pPr>
    </w:p>
    <w:p w:rsidR="00A84343" w:rsidRPr="00305810" w:rsidRDefault="00A84343" w:rsidP="00305810">
      <w:pPr>
        <w:pStyle w:val="ListeParagraf"/>
        <w:numPr>
          <w:ilvl w:val="0"/>
          <w:numId w:val="12"/>
        </w:numPr>
        <w:spacing w:before="80" w:after="80" w:line="240" w:lineRule="auto"/>
        <w:jc w:val="both"/>
        <w:rPr>
          <w:rFonts w:ascii="Arial" w:hAnsi="Arial" w:cs="Arial"/>
          <w:spacing w:val="-2"/>
          <w:sz w:val="20"/>
          <w:szCs w:val="20"/>
        </w:rPr>
      </w:pPr>
      <w:r w:rsidRPr="00305810">
        <w:rPr>
          <w:rFonts w:ascii="Arial" w:hAnsi="Arial" w:cs="Arial"/>
          <w:spacing w:val="-2"/>
          <w:sz w:val="20"/>
          <w:szCs w:val="20"/>
        </w:rPr>
        <w:t xml:space="preserve">Şirket’le aynı faaliyet konularında iştigal eden ve rekabet içinde olan başka şirket veya işletme (“Rakip”) </w:t>
      </w:r>
      <w:r w:rsidR="00E64010" w:rsidRPr="00305810">
        <w:rPr>
          <w:rFonts w:ascii="Arial" w:hAnsi="Arial" w:cs="Arial"/>
          <w:spacing w:val="-2"/>
          <w:sz w:val="20"/>
          <w:szCs w:val="20"/>
        </w:rPr>
        <w:t>ile</w:t>
      </w:r>
      <w:r w:rsidRPr="00305810">
        <w:rPr>
          <w:rFonts w:ascii="Arial" w:hAnsi="Arial" w:cs="Arial"/>
          <w:spacing w:val="-2"/>
          <w:sz w:val="20"/>
          <w:szCs w:val="20"/>
        </w:rPr>
        <w:t xml:space="preserve"> Rakip’lerin sahibi, işleteni, pay sahibi veya sıfatı ne olursa olsun yöneticisi veya çalışanı konumunda olan kişilerin veya bu kişilerin eşleri ile alt ve üstsoyunun veya anılanların </w:t>
      </w:r>
      <w:r w:rsidR="00E64010" w:rsidRPr="00305810">
        <w:rPr>
          <w:rFonts w:ascii="Arial" w:hAnsi="Arial" w:cs="Arial"/>
          <w:spacing w:val="-2"/>
          <w:sz w:val="20"/>
          <w:szCs w:val="20"/>
        </w:rPr>
        <w:t>doğrudan</w:t>
      </w:r>
      <w:r w:rsidRPr="00305810">
        <w:rPr>
          <w:rFonts w:ascii="Arial" w:hAnsi="Arial" w:cs="Arial"/>
          <w:spacing w:val="-2"/>
          <w:sz w:val="20"/>
          <w:szCs w:val="20"/>
        </w:rPr>
        <w:t xml:space="preserve"> veya dolaylı olarak </w:t>
      </w:r>
      <w:r w:rsidR="00E64010" w:rsidRPr="00305810">
        <w:rPr>
          <w:rFonts w:ascii="Arial" w:hAnsi="Arial" w:cs="Arial"/>
          <w:spacing w:val="-2"/>
          <w:sz w:val="20"/>
          <w:szCs w:val="20"/>
        </w:rPr>
        <w:t>hâkimiyetine</w:t>
      </w:r>
      <w:r w:rsidRPr="00305810">
        <w:rPr>
          <w:rFonts w:ascii="Arial" w:hAnsi="Arial" w:cs="Arial"/>
          <w:spacing w:val="-2"/>
          <w:sz w:val="20"/>
          <w:szCs w:val="20"/>
        </w:rPr>
        <w:t xml:space="preserve"> sahip oldukları şirketlerin pay iktisap etmek istemesi;</w:t>
      </w:r>
    </w:p>
    <w:p w:rsidR="00A84343" w:rsidRPr="003F0741" w:rsidRDefault="00A84343" w:rsidP="003F0741">
      <w:pPr>
        <w:spacing w:before="80" w:after="80" w:line="240" w:lineRule="auto"/>
        <w:jc w:val="both"/>
        <w:rPr>
          <w:rFonts w:ascii="Arial" w:hAnsi="Arial" w:cs="Arial"/>
          <w:spacing w:val="-2"/>
          <w:sz w:val="20"/>
          <w:szCs w:val="20"/>
        </w:rPr>
      </w:pPr>
    </w:p>
    <w:p w:rsidR="00A84343" w:rsidRPr="00305810" w:rsidRDefault="00A84343" w:rsidP="00305810">
      <w:pPr>
        <w:pStyle w:val="ListeParagraf"/>
        <w:numPr>
          <w:ilvl w:val="0"/>
          <w:numId w:val="12"/>
        </w:numPr>
        <w:spacing w:before="80" w:after="80" w:line="240" w:lineRule="auto"/>
        <w:jc w:val="both"/>
        <w:rPr>
          <w:rFonts w:ascii="Arial" w:hAnsi="Arial" w:cs="Arial"/>
          <w:spacing w:val="-2"/>
          <w:sz w:val="20"/>
          <w:szCs w:val="20"/>
        </w:rPr>
      </w:pPr>
      <w:r w:rsidRPr="00305810">
        <w:rPr>
          <w:rFonts w:ascii="Arial" w:hAnsi="Arial" w:cs="Arial"/>
          <w:spacing w:val="-2"/>
          <w:sz w:val="20"/>
          <w:szCs w:val="20"/>
        </w:rPr>
        <w:t>Şirket’in, ekonomik bağımsızlığını koruması amacı doğrultusunda; Şirket’in sermayesinin toplamda %5’ini bulan ya da bu oranı aşan miktarda payın doğrudan veya dolaylı olarak herhangi bir kişi veya birlikte hareket eden kişiler tarafından iktisap edilmek istenmesi.</w:t>
      </w:r>
    </w:p>
    <w:p w:rsidR="00A84343" w:rsidRPr="003F0741" w:rsidRDefault="00A84343" w:rsidP="003F0741">
      <w:pPr>
        <w:spacing w:before="80" w:after="80" w:line="240" w:lineRule="auto"/>
        <w:jc w:val="both"/>
        <w:rPr>
          <w:rFonts w:ascii="Arial" w:hAnsi="Arial" w:cs="Arial"/>
          <w:spacing w:val="-2"/>
          <w:sz w:val="20"/>
          <w:szCs w:val="20"/>
        </w:rPr>
      </w:pPr>
    </w:p>
    <w:p w:rsidR="00A84343" w:rsidRPr="003F0741" w:rsidRDefault="00A84343"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Paylarını (“Devre Konu Paylar”) Potansiyel Alıcı’ya, Potansiyel Alıcı’nın piyasa koşullarına uygun olarak teklif ettiği fiyat ve diğer satış koşulları (“Teklif Fiyatı ve Şartları”) ile devretmek isteyen bir pay sahibi aşağıdaki usullere tabidir:</w:t>
      </w:r>
    </w:p>
    <w:p w:rsidR="00A84343" w:rsidRPr="003F0741" w:rsidRDefault="00A84343" w:rsidP="003F0741">
      <w:pPr>
        <w:spacing w:before="80" w:after="80" w:line="240" w:lineRule="auto"/>
        <w:jc w:val="both"/>
        <w:rPr>
          <w:rFonts w:ascii="Arial" w:hAnsi="Arial" w:cs="Arial"/>
          <w:spacing w:val="-2"/>
          <w:sz w:val="20"/>
          <w:szCs w:val="20"/>
        </w:rPr>
      </w:pPr>
    </w:p>
    <w:p w:rsidR="00A84343" w:rsidRPr="00305810" w:rsidRDefault="00A84343" w:rsidP="00305810">
      <w:pPr>
        <w:pStyle w:val="ListeParagraf"/>
        <w:numPr>
          <w:ilvl w:val="0"/>
          <w:numId w:val="13"/>
        </w:numPr>
        <w:spacing w:before="80" w:after="80" w:line="240" w:lineRule="auto"/>
        <w:jc w:val="both"/>
        <w:rPr>
          <w:rFonts w:ascii="Arial" w:hAnsi="Arial" w:cs="Arial"/>
          <w:spacing w:val="-2"/>
          <w:sz w:val="20"/>
          <w:szCs w:val="20"/>
        </w:rPr>
      </w:pPr>
      <w:r w:rsidRPr="00305810">
        <w:rPr>
          <w:rFonts w:ascii="Arial" w:hAnsi="Arial" w:cs="Arial"/>
          <w:spacing w:val="-2"/>
          <w:sz w:val="20"/>
          <w:szCs w:val="20"/>
        </w:rPr>
        <w:t xml:space="preserve">Devreden, Devre Konu </w:t>
      </w:r>
      <w:r w:rsidR="00E64010" w:rsidRPr="00305810">
        <w:rPr>
          <w:rFonts w:ascii="Arial" w:hAnsi="Arial" w:cs="Arial"/>
          <w:spacing w:val="-2"/>
          <w:sz w:val="20"/>
          <w:szCs w:val="20"/>
        </w:rPr>
        <w:t>Paylarını</w:t>
      </w:r>
      <w:r w:rsidRPr="00305810">
        <w:rPr>
          <w:rFonts w:ascii="Arial" w:hAnsi="Arial" w:cs="Arial"/>
          <w:spacing w:val="-2"/>
          <w:sz w:val="20"/>
          <w:szCs w:val="20"/>
        </w:rPr>
        <w:t xml:space="preserve"> devretme niyetini, Potansiyel Alıcı’nın kimliği ve niteliklerine ilişkin detaylı açıklama ile birlikte Teklif Fiyat ve </w:t>
      </w:r>
      <w:r w:rsidR="00E64010" w:rsidRPr="00305810">
        <w:rPr>
          <w:rFonts w:ascii="Arial" w:hAnsi="Arial" w:cs="Arial"/>
          <w:spacing w:val="-2"/>
          <w:sz w:val="20"/>
          <w:szCs w:val="20"/>
        </w:rPr>
        <w:t>Şartlarını</w:t>
      </w:r>
      <w:r w:rsidRPr="00305810">
        <w:rPr>
          <w:rFonts w:ascii="Arial" w:hAnsi="Arial" w:cs="Arial"/>
          <w:spacing w:val="-2"/>
          <w:sz w:val="20"/>
          <w:szCs w:val="20"/>
        </w:rPr>
        <w:t xml:space="preserve"> Şirket’e ve diğer A grubu pay sahiplerine yazılı olarak (bir kopya da taahhütlü posta ile yollayarak) bildirir.</w:t>
      </w:r>
    </w:p>
    <w:p w:rsidR="00A84343" w:rsidRPr="003F0741" w:rsidRDefault="00A84343" w:rsidP="003F0741">
      <w:pPr>
        <w:spacing w:before="80" w:after="80" w:line="240" w:lineRule="auto"/>
        <w:jc w:val="both"/>
        <w:rPr>
          <w:rFonts w:ascii="Arial" w:hAnsi="Arial" w:cs="Arial"/>
          <w:spacing w:val="-2"/>
          <w:sz w:val="20"/>
          <w:szCs w:val="20"/>
        </w:rPr>
      </w:pPr>
    </w:p>
    <w:p w:rsidR="00A84343" w:rsidRPr="00305810" w:rsidRDefault="00A84343" w:rsidP="00305810">
      <w:pPr>
        <w:pStyle w:val="ListeParagraf"/>
        <w:numPr>
          <w:ilvl w:val="0"/>
          <w:numId w:val="13"/>
        </w:numPr>
        <w:spacing w:before="80" w:after="80" w:line="240" w:lineRule="auto"/>
        <w:jc w:val="both"/>
        <w:rPr>
          <w:rFonts w:ascii="Arial" w:hAnsi="Arial" w:cs="Arial"/>
          <w:spacing w:val="-2"/>
          <w:sz w:val="20"/>
          <w:szCs w:val="20"/>
        </w:rPr>
      </w:pPr>
      <w:r w:rsidRPr="00305810">
        <w:rPr>
          <w:rFonts w:ascii="Arial" w:hAnsi="Arial" w:cs="Arial"/>
          <w:spacing w:val="-2"/>
          <w:sz w:val="20"/>
          <w:szCs w:val="20"/>
        </w:rPr>
        <w:t xml:space="preserve">Devre Konu </w:t>
      </w:r>
      <w:r w:rsidR="00E64010" w:rsidRPr="00305810">
        <w:rPr>
          <w:rFonts w:ascii="Arial" w:hAnsi="Arial" w:cs="Arial"/>
          <w:spacing w:val="-2"/>
          <w:sz w:val="20"/>
          <w:szCs w:val="20"/>
        </w:rPr>
        <w:t>Payların</w:t>
      </w:r>
      <w:r w:rsidRPr="00305810">
        <w:rPr>
          <w:rFonts w:ascii="Arial" w:hAnsi="Arial" w:cs="Arial"/>
          <w:spacing w:val="-2"/>
          <w:sz w:val="20"/>
          <w:szCs w:val="20"/>
        </w:rPr>
        <w:t xml:space="preserve">, Şirket tarafından, gerçek değeriyle (Şirket’e başvurma anındaki gerçek değer, Şirket tarafından tayin edilir. TTK’nın 493. maddesinin beşinci fıkrası hükmü saklıdır.) satın alınmak istenmesi halinde, Devreden’e yukarıda 1’inci </w:t>
      </w:r>
      <w:r w:rsidRPr="00305810">
        <w:rPr>
          <w:rFonts w:ascii="Arial" w:hAnsi="Arial" w:cs="Arial"/>
          <w:spacing w:val="-2"/>
          <w:sz w:val="20"/>
          <w:szCs w:val="20"/>
        </w:rPr>
        <w:lastRenderedPageBreak/>
        <w:t>maddede belirtilen bildirimi takip eden on beş gün içerisinde satın alma isteğini bildirir ve bu bildirimi takip eden on beş gün içerisinde ödemeyi yapar.</w:t>
      </w:r>
    </w:p>
    <w:p w:rsidR="00A84343" w:rsidRPr="003F0741" w:rsidRDefault="00A84343" w:rsidP="003F0741">
      <w:pPr>
        <w:spacing w:before="80" w:after="80" w:line="240" w:lineRule="auto"/>
        <w:jc w:val="both"/>
        <w:rPr>
          <w:rFonts w:ascii="Arial" w:hAnsi="Arial" w:cs="Arial"/>
          <w:spacing w:val="-2"/>
          <w:sz w:val="20"/>
          <w:szCs w:val="20"/>
        </w:rPr>
      </w:pPr>
    </w:p>
    <w:p w:rsidR="00A84343" w:rsidRPr="00305810" w:rsidRDefault="00A84343" w:rsidP="00305810">
      <w:pPr>
        <w:pStyle w:val="ListeParagraf"/>
        <w:numPr>
          <w:ilvl w:val="0"/>
          <w:numId w:val="13"/>
        </w:numPr>
        <w:spacing w:before="80" w:after="80" w:line="240" w:lineRule="auto"/>
        <w:jc w:val="both"/>
        <w:rPr>
          <w:rFonts w:ascii="Arial" w:hAnsi="Arial" w:cs="Arial"/>
          <w:spacing w:val="-2"/>
          <w:sz w:val="20"/>
          <w:szCs w:val="20"/>
        </w:rPr>
      </w:pPr>
      <w:r w:rsidRPr="00305810">
        <w:rPr>
          <w:rFonts w:ascii="Arial" w:hAnsi="Arial" w:cs="Arial"/>
          <w:spacing w:val="-2"/>
          <w:sz w:val="20"/>
          <w:szCs w:val="20"/>
        </w:rPr>
        <w:t>Şirket tarafından Devre Konu Paylar’ın tamamı gerçek değeriyle satın alınmaz ise Devre Konu Paylar’ın tamamı, bir kısmı satın alınır ise Şirket tarafından satın alınmayan kısmı Devreden tarafından diğer A grubu pay sahiplerine teklif edilir. A Grubu diğer pay sahiplerine teklif aşağıdaki usulle yapılacaktır:</w:t>
      </w:r>
    </w:p>
    <w:p w:rsidR="00A84343" w:rsidRPr="003F0741" w:rsidRDefault="00A84343" w:rsidP="003F0741">
      <w:pPr>
        <w:spacing w:before="80" w:after="80" w:line="240" w:lineRule="auto"/>
        <w:jc w:val="both"/>
        <w:rPr>
          <w:rFonts w:ascii="Arial" w:hAnsi="Arial" w:cs="Arial"/>
          <w:spacing w:val="-2"/>
          <w:sz w:val="20"/>
          <w:szCs w:val="20"/>
        </w:rPr>
      </w:pPr>
    </w:p>
    <w:p w:rsidR="00A84343" w:rsidRPr="00305810" w:rsidRDefault="00A84343" w:rsidP="00305810">
      <w:pPr>
        <w:pStyle w:val="ListeParagraf"/>
        <w:numPr>
          <w:ilvl w:val="0"/>
          <w:numId w:val="15"/>
        </w:numPr>
        <w:spacing w:before="80" w:after="80" w:line="240" w:lineRule="auto"/>
        <w:jc w:val="both"/>
        <w:rPr>
          <w:rFonts w:ascii="Arial" w:hAnsi="Arial" w:cs="Arial"/>
          <w:spacing w:val="-2"/>
          <w:sz w:val="20"/>
          <w:szCs w:val="20"/>
        </w:rPr>
      </w:pPr>
      <w:r w:rsidRPr="00305810">
        <w:rPr>
          <w:rFonts w:ascii="Arial" w:hAnsi="Arial" w:cs="Arial"/>
          <w:spacing w:val="-2"/>
          <w:sz w:val="20"/>
          <w:szCs w:val="20"/>
        </w:rPr>
        <w:t>Devreden, diğer A Grubu pay sahiplerine ivedilikle bildirim yaparak, Devre Konu Paylar’ı, Teklif Fiyat ve Şartları üzerinden satın almak isteyip istemediklerini bildirmeleri için on beş gün süre (“Bildirim Süresi”) verir.</w:t>
      </w:r>
    </w:p>
    <w:p w:rsidR="00A84343" w:rsidRPr="003F0741" w:rsidRDefault="00A84343" w:rsidP="003F0741">
      <w:pPr>
        <w:spacing w:before="80" w:after="80" w:line="240" w:lineRule="auto"/>
        <w:jc w:val="both"/>
        <w:rPr>
          <w:rFonts w:ascii="Arial" w:hAnsi="Arial" w:cs="Arial"/>
          <w:spacing w:val="-2"/>
          <w:sz w:val="20"/>
          <w:szCs w:val="20"/>
        </w:rPr>
      </w:pPr>
    </w:p>
    <w:p w:rsidR="00A84343" w:rsidRPr="00305810" w:rsidRDefault="00A84343" w:rsidP="00305810">
      <w:pPr>
        <w:pStyle w:val="ListeParagraf"/>
        <w:numPr>
          <w:ilvl w:val="0"/>
          <w:numId w:val="15"/>
        </w:numPr>
        <w:spacing w:before="80" w:after="80" w:line="240" w:lineRule="auto"/>
        <w:jc w:val="both"/>
        <w:rPr>
          <w:rFonts w:ascii="Arial" w:hAnsi="Arial" w:cs="Arial"/>
          <w:spacing w:val="-2"/>
          <w:sz w:val="20"/>
          <w:szCs w:val="20"/>
        </w:rPr>
      </w:pPr>
      <w:r w:rsidRPr="00305810">
        <w:rPr>
          <w:rFonts w:ascii="Arial" w:hAnsi="Arial" w:cs="Arial"/>
          <w:spacing w:val="-2"/>
          <w:sz w:val="20"/>
          <w:szCs w:val="20"/>
        </w:rPr>
        <w:t>Devre Konu Paylar’ın, diğer A Grubu pay sahiplerinin tamamı tarafından satın alınmak istenmesi durumunda diğer A Grubu pay sahiplerinden her biri, Devre Konu Paylar’ı, Şirket’te sahip oldukları A Grubu payları nispetinde satın alabilir. Diğer A Grubu pay sahiplerinden herhangi biri Devre Konu Paylar’ı satın almak istemezse, satın almak isteyen diğer A Grubu pay sahipleri, söz konusu payları, Şirket’te sahip oldukları A Grubu payların satın almak istemeyen diğer A Grubu pay sahibinin paylarının düşülmesi suretiyle Şirket’in toplam sermayesindeki A Grubu paylara oranı nispetinde satın alabilir.</w:t>
      </w:r>
    </w:p>
    <w:p w:rsidR="00A84343" w:rsidRPr="003F0741" w:rsidRDefault="00A84343" w:rsidP="003F0741">
      <w:pPr>
        <w:spacing w:before="80" w:after="80" w:line="240" w:lineRule="auto"/>
        <w:jc w:val="both"/>
        <w:rPr>
          <w:rFonts w:ascii="Arial" w:hAnsi="Arial" w:cs="Arial"/>
          <w:spacing w:val="-2"/>
          <w:sz w:val="20"/>
          <w:szCs w:val="20"/>
        </w:rPr>
      </w:pPr>
    </w:p>
    <w:p w:rsidR="00A84343" w:rsidRPr="00305810" w:rsidRDefault="00A84343" w:rsidP="00305810">
      <w:pPr>
        <w:pStyle w:val="ListeParagraf"/>
        <w:numPr>
          <w:ilvl w:val="0"/>
          <w:numId w:val="15"/>
        </w:numPr>
        <w:spacing w:before="80" w:after="80" w:line="240" w:lineRule="auto"/>
        <w:jc w:val="both"/>
        <w:rPr>
          <w:rFonts w:ascii="Arial" w:hAnsi="Arial" w:cs="Arial"/>
          <w:spacing w:val="-2"/>
          <w:sz w:val="20"/>
          <w:szCs w:val="20"/>
        </w:rPr>
      </w:pPr>
      <w:r w:rsidRPr="00305810">
        <w:rPr>
          <w:rFonts w:ascii="Arial" w:hAnsi="Arial" w:cs="Arial"/>
          <w:spacing w:val="-2"/>
          <w:sz w:val="20"/>
          <w:szCs w:val="20"/>
        </w:rPr>
        <w:t>Devre Konu Paylar’ı, diğer A Grubu pay sahiplerinden sadece birinin satın almak istemesi durumunda ise, Devre Konu Paylar’ın ancak tamamı söz konusu diğer A Grubu pay sahibine satılır.</w:t>
      </w:r>
    </w:p>
    <w:p w:rsidR="00A84343" w:rsidRPr="003F0741" w:rsidRDefault="00A84343" w:rsidP="003F0741">
      <w:pPr>
        <w:spacing w:before="80" w:after="80" w:line="240" w:lineRule="auto"/>
        <w:jc w:val="both"/>
        <w:rPr>
          <w:rFonts w:ascii="Arial" w:hAnsi="Arial" w:cs="Arial"/>
          <w:spacing w:val="-2"/>
          <w:sz w:val="20"/>
          <w:szCs w:val="20"/>
        </w:rPr>
      </w:pPr>
    </w:p>
    <w:p w:rsidR="00A84343" w:rsidRPr="003F0741" w:rsidRDefault="00A84343"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Yukarıda öngörülen usule uyulması ve sürecin tamamlanmasından sonra, Devre Konu Paylar Şirket ve/veya Teklif Edilen Pay Sahipleri tarafından satın alınmaz ve Şirket tarafından yukarıda belirtilen “Önemli Sebep” ileri sürülerek pay devri reddedilmez ise; Devreden, Devre Konu Paylarını, Teklif Fiyatı ve Şartları ile Potansiyel Alıcı’ya serbestçe devredebilecek ve devir pay defterine işlenecektir.</w:t>
      </w:r>
    </w:p>
    <w:p w:rsidR="00A84343" w:rsidRPr="003F0741" w:rsidRDefault="00A84343" w:rsidP="003F0741">
      <w:pPr>
        <w:spacing w:before="80" w:after="80" w:line="240" w:lineRule="auto"/>
        <w:jc w:val="both"/>
        <w:rPr>
          <w:rFonts w:ascii="Arial" w:hAnsi="Arial" w:cs="Arial"/>
          <w:spacing w:val="-2"/>
          <w:sz w:val="20"/>
          <w:szCs w:val="20"/>
        </w:rPr>
      </w:pPr>
    </w:p>
    <w:p w:rsidR="00A84343" w:rsidRPr="003F0741" w:rsidRDefault="00A84343"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Ayrıca, devralan payları kendi adına ve hesabına aldığını açıkça beyan etmez ise Şirket, devrin pay defterine kaydını reddedebilir.</w:t>
      </w:r>
    </w:p>
    <w:p w:rsidR="00A84343" w:rsidRPr="003F0741" w:rsidRDefault="00A84343"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 xml:space="preserve">Veraseten intikaller ile tüzel kişiliğin sona ermesi </w:t>
      </w:r>
      <w:r w:rsidRPr="003F0741">
        <w:rPr>
          <w:rFonts w:ascii="Arial" w:hAnsi="Arial" w:cs="Arial"/>
          <w:spacing w:val="-2"/>
          <w:sz w:val="20"/>
          <w:szCs w:val="20"/>
        </w:rPr>
        <w:t>v</w:t>
      </w:r>
      <w:r w:rsidRPr="003F0741">
        <w:rPr>
          <w:rFonts w:ascii="Arial" w:hAnsi="Arial" w:cs="Arial"/>
          <w:spacing w:val="-2"/>
          <w:sz w:val="20"/>
          <w:szCs w:val="20"/>
        </w:rPr>
        <w:t>eya cebri icra yoluyla gerçekleşen devirlerde işbu hüküm uygulanmaz.</w:t>
      </w:r>
    </w:p>
    <w:p w:rsidR="00A84343" w:rsidRPr="003F0741" w:rsidRDefault="00A84343" w:rsidP="003F0741">
      <w:pPr>
        <w:spacing w:before="80" w:after="80" w:line="240" w:lineRule="auto"/>
        <w:jc w:val="both"/>
        <w:rPr>
          <w:rFonts w:ascii="Arial" w:hAnsi="Arial" w:cs="Arial"/>
          <w:spacing w:val="-2"/>
          <w:sz w:val="20"/>
          <w:szCs w:val="20"/>
        </w:rPr>
      </w:pPr>
    </w:p>
    <w:p w:rsidR="00A84343" w:rsidRPr="003F0741" w:rsidRDefault="00A84343"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İşbu madde hükmünün kabul edildiği genel kurul toplantısındaki tek pay sahipliği yapısı dikkate alındığında A Grubu payların devrine ilişkin yapılan işbu düzenlemeler, bu payların ilk defa devrinde uygulanmayacaktır. Şirket’te A Grubu paya sahip birden fazla pay sahibi olduğu anda işbu madde hükümleri uygulama alanı bulacaktır.</w:t>
      </w:r>
    </w:p>
    <w:p w:rsidR="00A84343" w:rsidRPr="003F0741" w:rsidRDefault="00A84343" w:rsidP="003F0741">
      <w:pPr>
        <w:spacing w:before="80" w:after="80" w:line="240" w:lineRule="auto"/>
        <w:jc w:val="both"/>
        <w:rPr>
          <w:rFonts w:ascii="Arial" w:hAnsi="Arial" w:cs="Arial"/>
          <w:spacing w:val="-2"/>
          <w:sz w:val="20"/>
          <w:szCs w:val="20"/>
        </w:rPr>
      </w:pPr>
    </w:p>
    <w:p w:rsidR="00A84343" w:rsidRPr="003F0741" w:rsidRDefault="00A84343"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 xml:space="preserve">Bu madde uyarınca devre konu payların gerçek değeri Şirket tarafından tayin edilir. </w:t>
      </w:r>
      <w:r w:rsidR="00E64010" w:rsidRPr="003F0741">
        <w:rPr>
          <w:rFonts w:ascii="Arial" w:hAnsi="Arial" w:cs="Arial"/>
          <w:spacing w:val="-2"/>
          <w:sz w:val="20"/>
          <w:szCs w:val="20"/>
        </w:rPr>
        <w:t>Devreden ’in</w:t>
      </w:r>
      <w:r w:rsidRPr="003F0741">
        <w:rPr>
          <w:rFonts w:ascii="Arial" w:hAnsi="Arial" w:cs="Arial"/>
          <w:spacing w:val="-2"/>
          <w:sz w:val="20"/>
          <w:szCs w:val="20"/>
        </w:rPr>
        <w:t xml:space="preserve"> Şirket tarafından belirlenen gerçek değere itiraz etmesi halinde ise gerçek değer, Şirket ve Devreden ile doğrudan ve dolaylı olarak sermaye ve yönetim ilişkisi bulunmayan SPK tarafından yetkilendirilmiş bağımsız denetim kuruluşları, bu kuruluşların üyelik anlaşmasına sahip olduğu yabancı şirketlerle yapılan lisans, know-how ve benzeri sözleşmeler çerçevesinde faaliyette bulunan danışmanlık şirketleri, halka arza aracılık ve yatırım danışmanlığı yetki belgesinin her ikisine birlikte sahip olan aracı kurumlar veya mevduat kabul etmeyen bankalardan herhangi biri tarafından hesaplanır.</w:t>
      </w:r>
    </w:p>
    <w:p w:rsidR="00A84343" w:rsidRPr="003F0741" w:rsidRDefault="00A84343" w:rsidP="003F0741">
      <w:pPr>
        <w:spacing w:before="80" w:after="80" w:line="240" w:lineRule="auto"/>
        <w:jc w:val="both"/>
        <w:rPr>
          <w:rFonts w:ascii="Arial" w:hAnsi="Arial" w:cs="Arial"/>
          <w:spacing w:val="-2"/>
          <w:sz w:val="20"/>
          <w:szCs w:val="20"/>
          <w:u w:val="single"/>
        </w:rPr>
      </w:pPr>
    </w:p>
    <w:p w:rsidR="00A84343" w:rsidRPr="00305810" w:rsidRDefault="00305810" w:rsidP="00305810">
      <w:pPr>
        <w:pStyle w:val="ListeParagraf"/>
        <w:numPr>
          <w:ilvl w:val="0"/>
          <w:numId w:val="11"/>
        </w:numPr>
        <w:spacing w:before="80" w:after="80" w:line="240" w:lineRule="auto"/>
        <w:jc w:val="both"/>
        <w:rPr>
          <w:rFonts w:ascii="Arial" w:hAnsi="Arial" w:cs="Arial"/>
          <w:spacing w:val="-2"/>
          <w:sz w:val="20"/>
          <w:szCs w:val="20"/>
          <w:u w:val="single"/>
        </w:rPr>
      </w:pPr>
      <w:r>
        <w:rPr>
          <w:rFonts w:ascii="Arial" w:hAnsi="Arial" w:cs="Arial"/>
          <w:spacing w:val="-2"/>
          <w:sz w:val="20"/>
          <w:szCs w:val="20"/>
          <w:u w:val="single"/>
        </w:rPr>
        <w:t>B</w:t>
      </w:r>
      <w:r w:rsidR="00A84343" w:rsidRPr="00305810">
        <w:rPr>
          <w:rFonts w:ascii="Arial" w:hAnsi="Arial" w:cs="Arial"/>
          <w:spacing w:val="-2"/>
          <w:sz w:val="20"/>
          <w:szCs w:val="20"/>
          <w:u w:val="single"/>
        </w:rPr>
        <w:t xml:space="preserve"> Grubu payların devri:</w:t>
      </w:r>
    </w:p>
    <w:p w:rsidR="00A84343" w:rsidRPr="003F0741" w:rsidRDefault="00A84343"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B Grubu paylar herhangi bir sınırlamaya tabi olmaksızın serbestçe devrolunabilir.</w:t>
      </w:r>
    </w:p>
    <w:p w:rsidR="005D7A17" w:rsidRPr="003F0741" w:rsidRDefault="005D7A17"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A Grubu paylardan herhangi birinin, herhangi bir sebeple borsada işlem görebilir nitelikte paya dönüştürülmesi için, bu payların B Grubu paylara dönüşümü için Esas Sözleşme değişikliği yapılması ve Esas Sözleşme değişikliğinin genel kurulca onaylanması gerekmektedir.</w:t>
      </w:r>
    </w:p>
    <w:p w:rsidR="005D7A17" w:rsidRPr="003F0741" w:rsidRDefault="005D7A17"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Şirket’in kendi paylarını geri alması durumunda sermaye piyasası mevzuatı ve diğer ilgili mevzuata uygun olarak hareket edilir ve gerekli özel durum açıklamaları yapılır.</w:t>
      </w:r>
    </w:p>
    <w:p w:rsidR="005D7A17" w:rsidRDefault="005D7A17" w:rsidP="005D7A17">
      <w:pPr>
        <w:spacing w:line="240" w:lineRule="auto"/>
      </w:pPr>
    </w:p>
    <w:p w:rsidR="00B72BCD" w:rsidRPr="00B72BCD" w:rsidRDefault="00B72BCD" w:rsidP="005D7A17">
      <w:pPr>
        <w:spacing w:line="240" w:lineRule="auto"/>
        <w:rPr>
          <w:rFonts w:ascii="Arial" w:hAnsi="Arial" w:cs="Arial"/>
          <w:b/>
          <w:bCs/>
          <w:sz w:val="20"/>
          <w:szCs w:val="20"/>
        </w:rPr>
      </w:pPr>
      <w:r w:rsidRPr="00B72BCD">
        <w:rPr>
          <w:rFonts w:ascii="Arial" w:hAnsi="Arial" w:cs="Arial"/>
          <w:b/>
          <w:bCs/>
          <w:sz w:val="20"/>
          <w:szCs w:val="20"/>
        </w:rPr>
        <w:t>Madde 19</w:t>
      </w:r>
    </w:p>
    <w:p w:rsidR="00B72BCD" w:rsidRDefault="00B72BCD" w:rsidP="005D7A17">
      <w:pPr>
        <w:spacing w:line="240" w:lineRule="auto"/>
        <w:rPr>
          <w:rFonts w:ascii="Arial" w:hAnsi="Arial" w:cs="Arial"/>
          <w:b/>
          <w:bCs/>
          <w:sz w:val="20"/>
          <w:szCs w:val="20"/>
        </w:rPr>
      </w:pPr>
      <w:r w:rsidRPr="00B72BCD">
        <w:rPr>
          <w:rFonts w:ascii="Arial" w:hAnsi="Arial" w:cs="Arial"/>
          <w:b/>
          <w:bCs/>
          <w:sz w:val="20"/>
          <w:szCs w:val="20"/>
        </w:rPr>
        <w:t>AZINLIK HAKLARI</w:t>
      </w:r>
    </w:p>
    <w:p w:rsidR="00B72BCD" w:rsidRPr="003F0741" w:rsidRDefault="00B72BCD"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Sermayenin yirmide birini oluşturan pay sahiplerinin TTK Madde 411, 420, 439, 486, 531, 559 ve TTK’nın sair maddelerinde, sermaye piyasası mevzuatı, SPK düzenlemeleri ve diğer ilgili mevzuatta düzenlenen azlık hakları ve bu hakların kullanılması kısıtlanamaz yahut engellenemez.</w:t>
      </w:r>
    </w:p>
    <w:p w:rsidR="003F0741" w:rsidRDefault="003F0741" w:rsidP="00B72BCD">
      <w:pPr>
        <w:pStyle w:val="GvdeMetni"/>
        <w:rPr>
          <w:rFonts w:asciiTheme="minorHAnsi" w:eastAsiaTheme="minorHAnsi" w:hAnsiTheme="minorHAnsi" w:cstheme="minorBidi"/>
          <w:sz w:val="22"/>
          <w:szCs w:val="22"/>
        </w:rPr>
      </w:pPr>
    </w:p>
    <w:p w:rsidR="00B72BCD" w:rsidRPr="00B72BCD" w:rsidRDefault="00B72BCD" w:rsidP="00B72BCD">
      <w:pPr>
        <w:spacing w:line="240" w:lineRule="auto"/>
        <w:rPr>
          <w:rFonts w:ascii="Arial" w:hAnsi="Arial" w:cs="Arial"/>
          <w:b/>
          <w:bCs/>
          <w:sz w:val="20"/>
          <w:szCs w:val="20"/>
        </w:rPr>
      </w:pPr>
      <w:r w:rsidRPr="00B72BCD">
        <w:rPr>
          <w:rFonts w:ascii="Arial" w:hAnsi="Arial" w:cs="Arial"/>
          <w:b/>
          <w:bCs/>
          <w:sz w:val="20"/>
          <w:szCs w:val="20"/>
        </w:rPr>
        <w:lastRenderedPageBreak/>
        <w:t>Madde 20</w:t>
      </w:r>
    </w:p>
    <w:p w:rsidR="00B72BCD" w:rsidRPr="00B72BCD" w:rsidRDefault="00B72BCD" w:rsidP="00B72BCD">
      <w:pPr>
        <w:spacing w:line="240" w:lineRule="auto"/>
        <w:rPr>
          <w:rFonts w:ascii="Arial" w:hAnsi="Arial" w:cs="Arial"/>
          <w:b/>
          <w:bCs/>
          <w:sz w:val="20"/>
          <w:szCs w:val="20"/>
        </w:rPr>
      </w:pPr>
      <w:r w:rsidRPr="00B72BCD">
        <w:rPr>
          <w:rFonts w:ascii="Arial" w:hAnsi="Arial" w:cs="Arial"/>
          <w:b/>
          <w:bCs/>
          <w:sz w:val="20"/>
          <w:szCs w:val="20"/>
        </w:rPr>
        <w:t>BAĞIŞLAR</w:t>
      </w:r>
    </w:p>
    <w:p w:rsidR="00B72BCD" w:rsidRPr="003F0741" w:rsidRDefault="00B72BCD"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Şirket, sermaye piyasası mevzuatının örtülü kazanç aktarımı düzenlemelerine aykırılık teşkil etmemesi şartıyla, kendi işletme amaç ve konusunu aksatmayacak şekilde her türlü bağış yapabilir.</w:t>
      </w:r>
    </w:p>
    <w:p w:rsidR="00B72BCD" w:rsidRPr="003F0741" w:rsidRDefault="00B72BCD" w:rsidP="003F0741">
      <w:pPr>
        <w:spacing w:before="80" w:after="80" w:line="240" w:lineRule="auto"/>
        <w:jc w:val="both"/>
        <w:rPr>
          <w:rFonts w:ascii="Arial" w:hAnsi="Arial" w:cs="Arial"/>
          <w:spacing w:val="-2"/>
          <w:sz w:val="20"/>
          <w:szCs w:val="20"/>
        </w:rPr>
      </w:pPr>
    </w:p>
    <w:p w:rsidR="00B72BCD" w:rsidRPr="003F0741" w:rsidRDefault="00B72BCD"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Şirket tarafından yapılacak bağışların üst sınırı genel kurul tarafından belirlenir ve yapılan bağışlar dağıtılabilir kar matrahına eklenir. SPK yapılacak bağış miktarına üst sınır getirme yetkisine sahiptir. Bağışlar, SPKn’nun örtülü kazanç aktarımı düzenlemelerine ve sair ilgili mevzuat hükümlerine aykırılık teşkil edemez, gerekli özel durum açıklamaları yapılır ve yıl içinde yapılan bağışlara dair bilgiler genel kurulda ortakların bilgisine sunulur.</w:t>
      </w:r>
    </w:p>
    <w:p w:rsidR="00B72BCD" w:rsidRDefault="00B72BCD" w:rsidP="00B72BCD">
      <w:pPr>
        <w:pStyle w:val="GvdeMetni"/>
        <w:rPr>
          <w:rFonts w:asciiTheme="minorHAnsi" w:eastAsiaTheme="minorHAnsi" w:hAnsiTheme="minorHAnsi" w:cstheme="minorBidi"/>
          <w:sz w:val="22"/>
          <w:szCs w:val="22"/>
        </w:rPr>
      </w:pPr>
    </w:p>
    <w:p w:rsidR="00B72BCD" w:rsidRPr="00B72BCD" w:rsidRDefault="00B72BCD" w:rsidP="00B72BCD">
      <w:pPr>
        <w:spacing w:line="240" w:lineRule="auto"/>
        <w:rPr>
          <w:rFonts w:ascii="Arial" w:hAnsi="Arial" w:cs="Arial"/>
          <w:b/>
          <w:bCs/>
          <w:sz w:val="20"/>
          <w:szCs w:val="20"/>
        </w:rPr>
      </w:pPr>
      <w:r w:rsidRPr="00B72BCD">
        <w:rPr>
          <w:rFonts w:ascii="Arial" w:hAnsi="Arial" w:cs="Arial"/>
          <w:b/>
          <w:bCs/>
          <w:sz w:val="20"/>
          <w:szCs w:val="20"/>
        </w:rPr>
        <w:t>Madde 21</w:t>
      </w:r>
    </w:p>
    <w:p w:rsidR="00B72BCD" w:rsidRDefault="00B72BCD" w:rsidP="00B72BCD">
      <w:pPr>
        <w:spacing w:line="240" w:lineRule="auto"/>
        <w:rPr>
          <w:rFonts w:ascii="Arial" w:hAnsi="Arial" w:cs="Arial"/>
          <w:b/>
          <w:bCs/>
          <w:sz w:val="20"/>
          <w:szCs w:val="20"/>
        </w:rPr>
      </w:pPr>
      <w:r w:rsidRPr="00B72BCD">
        <w:rPr>
          <w:rFonts w:ascii="Arial" w:hAnsi="Arial" w:cs="Arial"/>
          <w:b/>
          <w:bCs/>
          <w:sz w:val="20"/>
          <w:szCs w:val="20"/>
        </w:rPr>
        <w:t>ESAS SÖZLEŞMENİN DEĞİŞTİRİLMESİ</w:t>
      </w:r>
    </w:p>
    <w:p w:rsidR="00ED235C" w:rsidRPr="003F0741" w:rsidRDefault="00ED235C"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 xml:space="preserve">Esas </w:t>
      </w:r>
      <w:r w:rsidR="00E64010" w:rsidRPr="003F0741">
        <w:rPr>
          <w:rFonts w:ascii="Arial" w:hAnsi="Arial" w:cs="Arial"/>
          <w:spacing w:val="-2"/>
          <w:sz w:val="20"/>
          <w:szCs w:val="20"/>
        </w:rPr>
        <w:t>Sözleşme ‘de</w:t>
      </w:r>
      <w:r w:rsidRPr="003F0741">
        <w:rPr>
          <w:rFonts w:ascii="Arial" w:hAnsi="Arial" w:cs="Arial"/>
          <w:spacing w:val="-2"/>
          <w:sz w:val="20"/>
          <w:szCs w:val="20"/>
        </w:rPr>
        <w:t xml:space="preserve"> yapılacak bütün değişiklikler için önceden SPK’nın uygun görüşü ile Ticaret Bakanlığı’nın izni gerekir fakat kayıtlı sermaye tavanı dahilinde yapılacak sermaye artırımları için Ticaret Bakanlığı izni aranmaz. Esas Sözleşme değişikliğine söz konusu uygun görüş ve izinler alındıktan sonra, TTK, sermaye piyasası mevzuatı ve Esas Sözleşme hükümlerine uygun olarak davet edilecek genel kurulda, sermaye piyasası mevzuatı ve Esas </w:t>
      </w:r>
      <w:r w:rsidR="00E64010" w:rsidRPr="003F0741">
        <w:rPr>
          <w:rFonts w:ascii="Arial" w:hAnsi="Arial" w:cs="Arial"/>
          <w:spacing w:val="-2"/>
          <w:sz w:val="20"/>
          <w:szCs w:val="20"/>
        </w:rPr>
        <w:t>Sözleşme’ deki</w:t>
      </w:r>
      <w:r w:rsidRPr="003F0741">
        <w:rPr>
          <w:rFonts w:ascii="Arial" w:hAnsi="Arial" w:cs="Arial"/>
          <w:spacing w:val="-2"/>
          <w:sz w:val="20"/>
          <w:szCs w:val="20"/>
        </w:rPr>
        <w:t xml:space="preserve"> belirtilen hükümleri çerçevesinde karar verilir. TTK Madde 479 3/a uyarınca genel kurulda Esas Sözleşme değişiklikleri ile ilgili olarak oyda imtiyaz kullanılamaz. SPK’nın uygun görmediği veya Ticaret Bakanlığı’nın onaylamadığı Esas Sözleşme değişiklik tasarıları genel kurul gündemine alınamaz ve görüşülemez. Esas </w:t>
      </w:r>
      <w:r w:rsidR="00E64010" w:rsidRPr="003F0741">
        <w:rPr>
          <w:rFonts w:ascii="Arial" w:hAnsi="Arial" w:cs="Arial"/>
          <w:spacing w:val="-2"/>
          <w:sz w:val="20"/>
          <w:szCs w:val="20"/>
        </w:rPr>
        <w:t>Sözleşme’ deki</w:t>
      </w:r>
      <w:r w:rsidRPr="003F0741">
        <w:rPr>
          <w:rFonts w:ascii="Arial" w:hAnsi="Arial" w:cs="Arial"/>
          <w:spacing w:val="-2"/>
          <w:sz w:val="20"/>
          <w:szCs w:val="20"/>
        </w:rPr>
        <w:t xml:space="preserve"> değişikliklerin, usulüne uygun olarak tasdik ve ticaret siciline tescil ettirildikten sonra geçerli olur. Esas Sözleşme değişiklikleri üçüncü kişilere karşı tescilden önce hüküm ifade etmez.</w:t>
      </w:r>
    </w:p>
    <w:p w:rsidR="00ED235C" w:rsidRPr="003F0741" w:rsidRDefault="00ED235C" w:rsidP="003F0741">
      <w:pPr>
        <w:spacing w:before="80" w:after="80" w:line="240" w:lineRule="auto"/>
        <w:jc w:val="both"/>
        <w:rPr>
          <w:rFonts w:ascii="Arial" w:hAnsi="Arial" w:cs="Arial"/>
          <w:spacing w:val="-2"/>
          <w:sz w:val="20"/>
          <w:szCs w:val="20"/>
        </w:rPr>
      </w:pPr>
    </w:p>
    <w:p w:rsidR="00ED235C" w:rsidRPr="003F0741" w:rsidRDefault="00ED235C"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Esas Sözleşme değişikliğinin imtiyazlı pay sahiplerinin haklarını ihlal etmesi durumunda, genel kurul kararının imtiyazlı pay sahipleri kurulunca onaylanması gerekir.</w:t>
      </w:r>
    </w:p>
    <w:p w:rsidR="00ED235C" w:rsidRPr="003F0741" w:rsidRDefault="00ED235C" w:rsidP="003F0741">
      <w:pPr>
        <w:spacing w:before="80" w:after="80" w:line="240" w:lineRule="auto"/>
        <w:jc w:val="both"/>
        <w:rPr>
          <w:rFonts w:ascii="Arial" w:hAnsi="Arial" w:cs="Arial"/>
          <w:spacing w:val="-2"/>
          <w:sz w:val="20"/>
          <w:szCs w:val="20"/>
        </w:rPr>
      </w:pPr>
    </w:p>
    <w:p w:rsidR="00ED235C" w:rsidRPr="003F0741" w:rsidRDefault="00ED235C"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 xml:space="preserve">İşbu Esas </w:t>
      </w:r>
      <w:r w:rsidR="00E64010" w:rsidRPr="003F0741">
        <w:rPr>
          <w:rFonts w:ascii="Arial" w:hAnsi="Arial" w:cs="Arial"/>
          <w:spacing w:val="-2"/>
          <w:sz w:val="20"/>
          <w:szCs w:val="20"/>
        </w:rPr>
        <w:t>Sözleşme’ deki</w:t>
      </w:r>
      <w:r w:rsidRPr="003F0741">
        <w:rPr>
          <w:rFonts w:ascii="Arial" w:hAnsi="Arial" w:cs="Arial"/>
          <w:spacing w:val="-2"/>
          <w:sz w:val="20"/>
          <w:szCs w:val="20"/>
        </w:rPr>
        <w:t xml:space="preserve"> değişikliklerin, Ticaret Siciline tescil edilmesi ve Türkiye Ticaret Sicili Gazetesi’nde ve sermaye piyasası mevzuatının kamuyu aydınlatma yükümlülükleri çerçevesinde ilanı şarttır</w:t>
      </w:r>
    </w:p>
    <w:p w:rsidR="00ED235C" w:rsidRDefault="00ED235C" w:rsidP="00ED235C">
      <w:pPr>
        <w:pStyle w:val="GvdeMetni"/>
        <w:rPr>
          <w:rFonts w:asciiTheme="minorHAnsi" w:eastAsiaTheme="minorHAnsi" w:hAnsiTheme="minorHAnsi" w:cstheme="minorBidi"/>
          <w:sz w:val="22"/>
          <w:szCs w:val="22"/>
        </w:rPr>
      </w:pPr>
    </w:p>
    <w:p w:rsidR="00ED235C" w:rsidRPr="00ED235C" w:rsidRDefault="00ED235C" w:rsidP="00ED235C">
      <w:pPr>
        <w:spacing w:line="240" w:lineRule="auto"/>
        <w:rPr>
          <w:rFonts w:ascii="Arial" w:hAnsi="Arial" w:cs="Arial"/>
          <w:b/>
          <w:bCs/>
          <w:sz w:val="20"/>
          <w:szCs w:val="20"/>
        </w:rPr>
      </w:pPr>
      <w:r>
        <w:t xml:space="preserve"> </w:t>
      </w:r>
      <w:r w:rsidRPr="00ED235C">
        <w:rPr>
          <w:rFonts w:ascii="Arial" w:hAnsi="Arial" w:cs="Arial"/>
          <w:b/>
          <w:bCs/>
          <w:sz w:val="20"/>
          <w:szCs w:val="20"/>
        </w:rPr>
        <w:t>Madde 22</w:t>
      </w:r>
    </w:p>
    <w:p w:rsidR="00ED235C" w:rsidRDefault="00ED235C" w:rsidP="00ED235C">
      <w:pPr>
        <w:spacing w:line="240" w:lineRule="auto"/>
        <w:rPr>
          <w:rFonts w:ascii="Arial" w:hAnsi="Arial" w:cs="Arial"/>
          <w:b/>
          <w:bCs/>
          <w:sz w:val="20"/>
          <w:szCs w:val="20"/>
        </w:rPr>
      </w:pPr>
      <w:r w:rsidRPr="00ED235C">
        <w:rPr>
          <w:rFonts w:ascii="Arial" w:hAnsi="Arial" w:cs="Arial"/>
          <w:b/>
          <w:bCs/>
          <w:sz w:val="20"/>
          <w:szCs w:val="20"/>
        </w:rPr>
        <w:t xml:space="preserve">ŞİRKETİN SONA ERMESİ VE TASFİYESİ </w:t>
      </w:r>
    </w:p>
    <w:p w:rsidR="00ED235C" w:rsidRPr="003F0741" w:rsidRDefault="00ED235C" w:rsidP="003F0741">
      <w:pPr>
        <w:spacing w:before="80" w:after="80" w:line="240" w:lineRule="auto"/>
        <w:jc w:val="both"/>
        <w:rPr>
          <w:rFonts w:ascii="Arial" w:hAnsi="Arial" w:cs="Arial"/>
          <w:spacing w:val="-2"/>
          <w:sz w:val="20"/>
          <w:szCs w:val="20"/>
        </w:rPr>
      </w:pPr>
      <w:r w:rsidRPr="003F0741">
        <w:rPr>
          <w:rFonts w:ascii="Arial" w:hAnsi="Arial" w:cs="Arial"/>
          <w:spacing w:val="-2"/>
          <w:sz w:val="20"/>
          <w:szCs w:val="20"/>
        </w:rPr>
        <w:t>Şirket’in sona ermesi, tasfiyesi ile buna bağlı muamelelerin nasıl yapılacağı hakkında TTK, sermaye piyasası mevzuatı ve diğer ilgili mevzuat hükümleri uygulanır.</w:t>
      </w:r>
    </w:p>
    <w:p w:rsidR="00ED235C" w:rsidRDefault="00ED235C" w:rsidP="00ED235C">
      <w:pPr>
        <w:pStyle w:val="GvdeMetni"/>
        <w:spacing w:before="92"/>
        <w:ind w:left="100"/>
        <w:rPr>
          <w:rFonts w:asciiTheme="minorHAnsi" w:eastAsiaTheme="minorHAnsi" w:hAnsiTheme="minorHAnsi" w:cstheme="minorBidi"/>
          <w:sz w:val="22"/>
          <w:szCs w:val="22"/>
        </w:rPr>
      </w:pPr>
    </w:p>
    <w:p w:rsidR="00ED235C" w:rsidRPr="00ED235C" w:rsidRDefault="00ED235C" w:rsidP="00ED235C">
      <w:pPr>
        <w:spacing w:line="240" w:lineRule="auto"/>
        <w:rPr>
          <w:rFonts w:ascii="Arial" w:hAnsi="Arial" w:cs="Arial"/>
          <w:b/>
          <w:bCs/>
          <w:sz w:val="20"/>
          <w:szCs w:val="20"/>
        </w:rPr>
      </w:pPr>
      <w:r w:rsidRPr="00ED235C">
        <w:rPr>
          <w:rFonts w:ascii="Arial" w:hAnsi="Arial" w:cs="Arial"/>
          <w:b/>
          <w:bCs/>
          <w:sz w:val="20"/>
          <w:szCs w:val="20"/>
        </w:rPr>
        <w:t>Madde 23</w:t>
      </w:r>
    </w:p>
    <w:p w:rsidR="00ED235C" w:rsidRPr="00ED235C" w:rsidRDefault="00ED235C" w:rsidP="00ED235C">
      <w:pPr>
        <w:spacing w:line="240" w:lineRule="auto"/>
        <w:rPr>
          <w:rFonts w:ascii="Arial" w:hAnsi="Arial" w:cs="Arial"/>
          <w:b/>
          <w:bCs/>
          <w:sz w:val="20"/>
          <w:szCs w:val="20"/>
        </w:rPr>
      </w:pPr>
      <w:r w:rsidRPr="00ED235C">
        <w:rPr>
          <w:rFonts w:ascii="Arial" w:hAnsi="Arial" w:cs="Arial"/>
          <w:b/>
          <w:bCs/>
          <w:sz w:val="20"/>
          <w:szCs w:val="20"/>
        </w:rPr>
        <w:t xml:space="preserve">KANUNİ HÜKÜMLER </w:t>
      </w:r>
    </w:p>
    <w:p w:rsidR="00426B07" w:rsidRPr="003F0741" w:rsidRDefault="00426B07" w:rsidP="00426B07">
      <w:pPr>
        <w:pStyle w:val="GvdeMetni"/>
        <w:spacing w:before="92"/>
        <w:ind w:left="100"/>
        <w:rPr>
          <w:rFonts w:eastAsiaTheme="minorHAnsi"/>
          <w:spacing w:val="-2"/>
          <w:sz w:val="20"/>
          <w:szCs w:val="20"/>
        </w:rPr>
      </w:pPr>
      <w:r w:rsidRPr="003F0741">
        <w:rPr>
          <w:rFonts w:eastAsiaTheme="minorHAnsi"/>
          <w:spacing w:val="-2"/>
          <w:sz w:val="20"/>
          <w:szCs w:val="20"/>
        </w:rPr>
        <w:t xml:space="preserve">İşbu Esas </w:t>
      </w:r>
      <w:r w:rsidR="00E64010" w:rsidRPr="003F0741">
        <w:rPr>
          <w:rFonts w:eastAsiaTheme="minorHAnsi"/>
          <w:spacing w:val="-2"/>
          <w:sz w:val="20"/>
          <w:szCs w:val="20"/>
        </w:rPr>
        <w:t>Sözleşme ‘de</w:t>
      </w:r>
      <w:r w:rsidRPr="003F0741">
        <w:rPr>
          <w:rFonts w:eastAsiaTheme="minorHAnsi"/>
          <w:spacing w:val="-2"/>
          <w:sz w:val="20"/>
          <w:szCs w:val="20"/>
        </w:rPr>
        <w:t xml:space="preserve"> bulunmayan hususlar hakkında TTK, sermaye piyasası mevzuatı ve diğer ilgili mevzuat hükümleri uygulanır.</w:t>
      </w:r>
    </w:p>
    <w:p w:rsidR="00426B07" w:rsidRPr="00426B07" w:rsidRDefault="00426B07" w:rsidP="00426B07">
      <w:pPr>
        <w:pStyle w:val="GvdeMetni"/>
        <w:spacing w:before="92"/>
        <w:ind w:left="100"/>
        <w:rPr>
          <w:rFonts w:asciiTheme="minorHAnsi" w:eastAsiaTheme="minorHAnsi" w:hAnsiTheme="minorHAnsi" w:cstheme="minorBidi"/>
          <w:sz w:val="22"/>
          <w:szCs w:val="22"/>
        </w:rPr>
      </w:pPr>
    </w:p>
    <w:p w:rsidR="00426B07" w:rsidRDefault="00426B07" w:rsidP="00426B07">
      <w:pPr>
        <w:pStyle w:val="GvdeMetni"/>
        <w:spacing w:before="145"/>
      </w:pPr>
    </w:p>
    <w:p w:rsidR="00ED235C" w:rsidRPr="00ED235C" w:rsidRDefault="00ED235C" w:rsidP="00ED235C">
      <w:pPr>
        <w:spacing w:line="240" w:lineRule="auto"/>
        <w:rPr>
          <w:rFonts w:ascii="Arial" w:hAnsi="Arial" w:cs="Arial"/>
          <w:b/>
          <w:bCs/>
          <w:sz w:val="20"/>
          <w:szCs w:val="20"/>
        </w:rPr>
      </w:pPr>
    </w:p>
    <w:p w:rsidR="00ED235C" w:rsidRPr="00ED235C" w:rsidRDefault="00ED235C" w:rsidP="003F0741">
      <w:pPr>
        <w:spacing w:line="240" w:lineRule="auto"/>
        <w:ind w:left="283"/>
        <w:rPr>
          <w:rFonts w:ascii="Arial" w:hAnsi="Arial" w:cs="Arial"/>
          <w:b/>
          <w:bCs/>
          <w:sz w:val="20"/>
          <w:szCs w:val="20"/>
        </w:rPr>
      </w:pPr>
    </w:p>
    <w:p w:rsidR="00ED235C" w:rsidRPr="00ED235C" w:rsidRDefault="00ED235C" w:rsidP="00ED235C">
      <w:pPr>
        <w:spacing w:line="240" w:lineRule="auto"/>
        <w:rPr>
          <w:rFonts w:ascii="Arial" w:hAnsi="Arial" w:cs="Arial"/>
          <w:b/>
          <w:bCs/>
          <w:sz w:val="20"/>
          <w:szCs w:val="20"/>
        </w:rPr>
      </w:pPr>
    </w:p>
    <w:p w:rsidR="00B72BCD" w:rsidRPr="00B72BCD" w:rsidRDefault="00B72BCD" w:rsidP="00B72BCD">
      <w:pPr>
        <w:spacing w:line="240" w:lineRule="auto"/>
        <w:rPr>
          <w:rFonts w:ascii="Arial" w:hAnsi="Arial" w:cs="Arial"/>
          <w:b/>
          <w:bCs/>
          <w:sz w:val="20"/>
          <w:szCs w:val="20"/>
        </w:rPr>
      </w:pPr>
    </w:p>
    <w:p w:rsidR="00B72BCD" w:rsidRPr="00B72BCD" w:rsidRDefault="00B72BCD" w:rsidP="00B72BCD">
      <w:pPr>
        <w:pStyle w:val="GvdeMetni"/>
        <w:rPr>
          <w:rFonts w:asciiTheme="minorHAnsi" w:eastAsiaTheme="minorHAnsi" w:hAnsiTheme="minorHAnsi" w:cstheme="minorBidi"/>
          <w:sz w:val="22"/>
          <w:szCs w:val="22"/>
        </w:rPr>
      </w:pPr>
    </w:p>
    <w:p w:rsidR="00B72BCD" w:rsidRPr="00B72BCD" w:rsidRDefault="00B72BCD" w:rsidP="005D7A17">
      <w:pPr>
        <w:spacing w:line="240" w:lineRule="auto"/>
        <w:rPr>
          <w:rFonts w:ascii="Arial" w:hAnsi="Arial" w:cs="Arial"/>
          <w:b/>
          <w:bCs/>
          <w:sz w:val="20"/>
          <w:szCs w:val="20"/>
        </w:rPr>
      </w:pPr>
    </w:p>
    <w:p w:rsidR="00A84343" w:rsidRPr="00A84343" w:rsidRDefault="00A84343" w:rsidP="00C12B69">
      <w:pPr>
        <w:spacing w:line="240" w:lineRule="auto"/>
      </w:pPr>
    </w:p>
    <w:p w:rsidR="00A84343" w:rsidRPr="00A84343" w:rsidRDefault="00A84343" w:rsidP="00A84343">
      <w:pPr>
        <w:pStyle w:val="GvdeMetni"/>
        <w:spacing w:line="312" w:lineRule="auto"/>
        <w:ind w:left="100" w:right="111"/>
        <w:jc w:val="both"/>
        <w:rPr>
          <w:rFonts w:asciiTheme="minorHAnsi" w:eastAsiaTheme="minorHAnsi" w:hAnsiTheme="minorHAnsi" w:cstheme="minorBidi"/>
          <w:sz w:val="22"/>
          <w:szCs w:val="22"/>
        </w:rPr>
      </w:pPr>
    </w:p>
    <w:p w:rsidR="00A84343" w:rsidRDefault="00A84343" w:rsidP="00A84343"/>
    <w:p w:rsidR="00A84343" w:rsidRDefault="00A84343" w:rsidP="00A84343">
      <w:pPr>
        <w:pStyle w:val="ListeParagraf"/>
        <w:widowControl w:val="0"/>
        <w:tabs>
          <w:tab w:val="left" w:pos="712"/>
        </w:tabs>
        <w:autoSpaceDE w:val="0"/>
        <w:autoSpaceDN w:val="0"/>
        <w:spacing w:after="0" w:line="240" w:lineRule="auto"/>
        <w:ind w:left="712"/>
        <w:contextualSpacing w:val="0"/>
        <w:rPr>
          <w:sz w:val="24"/>
        </w:rPr>
      </w:pPr>
    </w:p>
    <w:p w:rsidR="00A84343" w:rsidRPr="007F5F3B" w:rsidRDefault="00A84343" w:rsidP="007F5F3B">
      <w:pPr>
        <w:rPr>
          <w:rFonts w:ascii="Arial" w:hAnsi="Arial" w:cs="Arial"/>
          <w:b/>
          <w:bCs/>
          <w:sz w:val="20"/>
          <w:szCs w:val="20"/>
        </w:rPr>
      </w:pPr>
    </w:p>
    <w:p w:rsidR="007F5F3B" w:rsidRPr="007F5F3B" w:rsidRDefault="007F5F3B" w:rsidP="007F5F3B">
      <w:pPr>
        <w:pStyle w:val="GvdeMetni"/>
        <w:spacing w:before="92"/>
        <w:ind w:left="100"/>
        <w:rPr>
          <w:rFonts w:eastAsiaTheme="minorHAnsi"/>
          <w:spacing w:val="-2"/>
          <w:sz w:val="20"/>
          <w:szCs w:val="20"/>
        </w:rPr>
      </w:pPr>
    </w:p>
    <w:p w:rsidR="007F5F3B" w:rsidRPr="007F5F3B" w:rsidRDefault="007F5F3B" w:rsidP="00CC0056">
      <w:pPr>
        <w:rPr>
          <w:rFonts w:ascii="Arial" w:hAnsi="Arial" w:cs="Arial"/>
          <w:b/>
          <w:bCs/>
          <w:sz w:val="20"/>
          <w:szCs w:val="20"/>
        </w:rPr>
      </w:pPr>
    </w:p>
    <w:p w:rsidR="00CC0056" w:rsidRPr="00CC0056" w:rsidRDefault="00CC0056" w:rsidP="00CC0056">
      <w:pPr>
        <w:pStyle w:val="GvdeMetni"/>
        <w:spacing w:before="1"/>
        <w:jc w:val="both"/>
        <w:rPr>
          <w:rFonts w:eastAsiaTheme="minorHAnsi"/>
          <w:spacing w:val="-2"/>
          <w:sz w:val="20"/>
          <w:szCs w:val="20"/>
        </w:rPr>
      </w:pPr>
    </w:p>
    <w:p w:rsidR="00ED5BD7" w:rsidRPr="00ED5BD7" w:rsidRDefault="00ED5BD7" w:rsidP="00ED5BD7">
      <w:pPr>
        <w:rPr>
          <w:rFonts w:ascii="Arial" w:hAnsi="Arial" w:cs="Arial"/>
          <w:b/>
          <w:bCs/>
          <w:sz w:val="20"/>
          <w:szCs w:val="20"/>
        </w:rPr>
      </w:pPr>
    </w:p>
    <w:p w:rsidR="00A25162" w:rsidRPr="00F527D5" w:rsidRDefault="00A25162" w:rsidP="00F527D5">
      <w:pPr>
        <w:pStyle w:val="GvdeMetni"/>
        <w:spacing w:before="1"/>
        <w:jc w:val="both"/>
        <w:rPr>
          <w:rFonts w:eastAsiaTheme="minorHAnsi"/>
          <w:spacing w:val="-2"/>
          <w:sz w:val="20"/>
          <w:szCs w:val="20"/>
        </w:rPr>
      </w:pPr>
    </w:p>
    <w:p w:rsidR="00E57105" w:rsidRPr="00E57105" w:rsidRDefault="00E57105" w:rsidP="00E57105">
      <w:pPr>
        <w:rPr>
          <w:rFonts w:ascii="Arial" w:hAnsi="Arial" w:cs="Arial"/>
          <w:b/>
          <w:bCs/>
          <w:sz w:val="20"/>
          <w:szCs w:val="20"/>
        </w:rPr>
      </w:pPr>
      <w:r w:rsidRPr="00E57105">
        <w:rPr>
          <w:rFonts w:ascii="Arial" w:hAnsi="Arial" w:cs="Arial"/>
          <w:b/>
          <w:bCs/>
          <w:sz w:val="20"/>
          <w:szCs w:val="20"/>
        </w:rPr>
        <w:tab/>
      </w:r>
    </w:p>
    <w:p w:rsidR="008E0CAC" w:rsidRPr="00E57105" w:rsidRDefault="008E0CAC" w:rsidP="00E57105">
      <w:pPr>
        <w:rPr>
          <w:rFonts w:ascii="Arial" w:hAnsi="Arial" w:cs="Arial"/>
          <w:b/>
          <w:bCs/>
          <w:sz w:val="20"/>
          <w:szCs w:val="20"/>
        </w:rPr>
      </w:pPr>
    </w:p>
    <w:p w:rsidR="008E0CAC" w:rsidRDefault="008E0CAC" w:rsidP="00753DF5">
      <w:pPr>
        <w:pStyle w:val="GvdeMetni"/>
        <w:spacing w:before="75" w:line="312" w:lineRule="auto"/>
        <w:ind w:left="100" w:right="142"/>
        <w:jc w:val="both"/>
      </w:pPr>
    </w:p>
    <w:p w:rsidR="00753DF5" w:rsidRDefault="00753DF5" w:rsidP="00753DF5">
      <w:pPr>
        <w:pStyle w:val="GvdeMetni"/>
        <w:spacing w:before="93" w:line="312" w:lineRule="auto"/>
        <w:ind w:left="100" w:right="170"/>
      </w:pPr>
    </w:p>
    <w:p w:rsidR="00753DF5" w:rsidRDefault="00753DF5" w:rsidP="00EC375F">
      <w:pPr>
        <w:rPr>
          <w:rFonts w:ascii="Arial" w:hAnsi="Arial" w:cs="Arial"/>
          <w:b/>
          <w:bCs/>
          <w:sz w:val="20"/>
          <w:szCs w:val="20"/>
        </w:rPr>
      </w:pPr>
    </w:p>
    <w:p w:rsidR="00EC375F" w:rsidRPr="00EC375F" w:rsidRDefault="00EC375F" w:rsidP="00EC375F">
      <w:pPr>
        <w:rPr>
          <w:rFonts w:ascii="Arial" w:hAnsi="Arial" w:cs="Arial"/>
          <w:b/>
          <w:bCs/>
          <w:sz w:val="20"/>
          <w:szCs w:val="20"/>
        </w:rPr>
      </w:pPr>
    </w:p>
    <w:p w:rsidR="00F109B6" w:rsidRPr="00EC375F" w:rsidRDefault="00F109B6" w:rsidP="00F109B6">
      <w:pPr>
        <w:pStyle w:val="GvdeMetni"/>
        <w:spacing w:before="84" w:line="312" w:lineRule="auto"/>
        <w:ind w:left="100"/>
        <w:rPr>
          <w:rFonts w:eastAsiaTheme="minorHAnsi"/>
          <w:spacing w:val="-2"/>
          <w:sz w:val="20"/>
          <w:szCs w:val="20"/>
        </w:rPr>
      </w:pPr>
    </w:p>
    <w:sectPr w:rsidR="00F109B6" w:rsidRPr="00EC375F" w:rsidSect="00682E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altName w:val="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8EE"/>
    <w:multiLevelType w:val="hybridMultilevel"/>
    <w:tmpl w:val="CAA83F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0E5D82"/>
    <w:multiLevelType w:val="hybridMultilevel"/>
    <w:tmpl w:val="0AB8A0F6"/>
    <w:lvl w:ilvl="0" w:tplc="530436BA">
      <w:start w:val="1"/>
      <w:numFmt w:val="low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8D90C6B"/>
    <w:multiLevelType w:val="hybridMultilevel"/>
    <w:tmpl w:val="D1A4098E"/>
    <w:lvl w:ilvl="0" w:tplc="E7D44C42">
      <w:start w:val="1"/>
      <w:numFmt w:val="lowerLetter"/>
      <w:lvlText w:val="%1)"/>
      <w:lvlJc w:val="left"/>
      <w:pPr>
        <w:ind w:left="643" w:hanging="360"/>
      </w:pPr>
      <w:rPr>
        <w:rFonts w:asciiTheme="minorHAnsi" w:hAnsiTheme="minorHAnsi" w:cstheme="minorBidi"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28483D"/>
    <w:multiLevelType w:val="hybridMultilevel"/>
    <w:tmpl w:val="49E2F31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CF6B2F"/>
    <w:multiLevelType w:val="hybridMultilevel"/>
    <w:tmpl w:val="F9889EB4"/>
    <w:lvl w:ilvl="0" w:tplc="1198524A">
      <w:start w:val="1"/>
      <w:numFmt w:val="decimal"/>
      <w:lvlText w:val="%1-"/>
      <w:lvlJc w:val="left"/>
      <w:pPr>
        <w:ind w:left="100" w:hanging="291"/>
      </w:pPr>
      <w:rPr>
        <w:rFonts w:ascii="Arial" w:eastAsia="Arial" w:hAnsi="Arial" w:cs="Arial" w:hint="default"/>
        <w:b/>
        <w:bCs w:val="0"/>
        <w:i w:val="0"/>
        <w:iCs w:val="0"/>
        <w:spacing w:val="0"/>
        <w:w w:val="89"/>
        <w:sz w:val="20"/>
        <w:szCs w:val="20"/>
        <w:lang w:val="tr-TR" w:eastAsia="en-US" w:bidi="ar-SA"/>
      </w:rPr>
    </w:lvl>
    <w:lvl w:ilvl="1" w:tplc="E506B00A">
      <w:numFmt w:val="bullet"/>
      <w:lvlText w:val="•"/>
      <w:lvlJc w:val="left"/>
      <w:pPr>
        <w:ind w:left="2014" w:hanging="291"/>
      </w:pPr>
      <w:rPr>
        <w:rFonts w:hint="default"/>
        <w:lang w:val="tr-TR" w:eastAsia="en-US" w:bidi="ar-SA"/>
      </w:rPr>
    </w:lvl>
    <w:lvl w:ilvl="2" w:tplc="22162980">
      <w:numFmt w:val="bullet"/>
      <w:lvlText w:val="•"/>
      <w:lvlJc w:val="left"/>
      <w:pPr>
        <w:ind w:left="3928" w:hanging="291"/>
      </w:pPr>
      <w:rPr>
        <w:rFonts w:hint="default"/>
        <w:lang w:val="tr-TR" w:eastAsia="en-US" w:bidi="ar-SA"/>
      </w:rPr>
    </w:lvl>
    <w:lvl w:ilvl="3" w:tplc="5942A69E">
      <w:numFmt w:val="bullet"/>
      <w:lvlText w:val="•"/>
      <w:lvlJc w:val="left"/>
      <w:pPr>
        <w:ind w:left="5842" w:hanging="291"/>
      </w:pPr>
      <w:rPr>
        <w:rFonts w:hint="default"/>
        <w:lang w:val="tr-TR" w:eastAsia="en-US" w:bidi="ar-SA"/>
      </w:rPr>
    </w:lvl>
    <w:lvl w:ilvl="4" w:tplc="8F00653A">
      <w:numFmt w:val="bullet"/>
      <w:lvlText w:val="•"/>
      <w:lvlJc w:val="left"/>
      <w:pPr>
        <w:ind w:left="7756" w:hanging="291"/>
      </w:pPr>
      <w:rPr>
        <w:rFonts w:hint="default"/>
        <w:lang w:val="tr-TR" w:eastAsia="en-US" w:bidi="ar-SA"/>
      </w:rPr>
    </w:lvl>
    <w:lvl w:ilvl="5" w:tplc="E896789E">
      <w:numFmt w:val="bullet"/>
      <w:lvlText w:val="•"/>
      <w:lvlJc w:val="left"/>
      <w:pPr>
        <w:ind w:left="9670" w:hanging="291"/>
      </w:pPr>
      <w:rPr>
        <w:rFonts w:hint="default"/>
        <w:lang w:val="tr-TR" w:eastAsia="en-US" w:bidi="ar-SA"/>
      </w:rPr>
    </w:lvl>
    <w:lvl w:ilvl="6" w:tplc="E03AADB6">
      <w:numFmt w:val="bullet"/>
      <w:lvlText w:val="•"/>
      <w:lvlJc w:val="left"/>
      <w:pPr>
        <w:ind w:left="11584" w:hanging="291"/>
      </w:pPr>
      <w:rPr>
        <w:rFonts w:hint="default"/>
        <w:lang w:val="tr-TR" w:eastAsia="en-US" w:bidi="ar-SA"/>
      </w:rPr>
    </w:lvl>
    <w:lvl w:ilvl="7" w:tplc="A5A88CEE">
      <w:numFmt w:val="bullet"/>
      <w:lvlText w:val="•"/>
      <w:lvlJc w:val="left"/>
      <w:pPr>
        <w:ind w:left="13498" w:hanging="291"/>
      </w:pPr>
      <w:rPr>
        <w:rFonts w:hint="default"/>
        <w:lang w:val="tr-TR" w:eastAsia="en-US" w:bidi="ar-SA"/>
      </w:rPr>
    </w:lvl>
    <w:lvl w:ilvl="8" w:tplc="08501ED6">
      <w:numFmt w:val="bullet"/>
      <w:lvlText w:val="•"/>
      <w:lvlJc w:val="left"/>
      <w:pPr>
        <w:ind w:left="15412" w:hanging="291"/>
      </w:pPr>
      <w:rPr>
        <w:rFonts w:hint="default"/>
        <w:lang w:val="tr-TR" w:eastAsia="en-US" w:bidi="ar-SA"/>
      </w:rPr>
    </w:lvl>
  </w:abstractNum>
  <w:abstractNum w:abstractNumId="5" w15:restartNumberingAfterBreak="0">
    <w:nsid w:val="12C30759"/>
    <w:multiLevelType w:val="hybridMultilevel"/>
    <w:tmpl w:val="FDF2AF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2462AE"/>
    <w:multiLevelType w:val="hybridMultilevel"/>
    <w:tmpl w:val="4C0E0454"/>
    <w:lvl w:ilvl="0" w:tplc="70A2984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F5474C"/>
    <w:multiLevelType w:val="hybridMultilevel"/>
    <w:tmpl w:val="081A512A"/>
    <w:lvl w:ilvl="0" w:tplc="498E497C">
      <w:start w:val="1"/>
      <w:numFmt w:val="lowerLetter"/>
      <w:lvlText w:val="%1)"/>
      <w:lvlJc w:val="left"/>
      <w:pPr>
        <w:ind w:left="100" w:hanging="280"/>
      </w:pPr>
      <w:rPr>
        <w:rFonts w:ascii="Arial" w:eastAsia="Arial" w:hAnsi="Arial" w:cs="Arial" w:hint="default"/>
        <w:b w:val="0"/>
        <w:bCs w:val="0"/>
        <w:i w:val="0"/>
        <w:iCs w:val="0"/>
        <w:spacing w:val="0"/>
        <w:w w:val="100"/>
        <w:sz w:val="24"/>
        <w:szCs w:val="24"/>
        <w:lang w:val="tr-TR" w:eastAsia="en-US" w:bidi="ar-SA"/>
      </w:rPr>
    </w:lvl>
    <w:lvl w:ilvl="1" w:tplc="87E86658">
      <w:numFmt w:val="bullet"/>
      <w:lvlText w:val="•"/>
      <w:lvlJc w:val="left"/>
      <w:pPr>
        <w:ind w:left="2014" w:hanging="280"/>
      </w:pPr>
      <w:rPr>
        <w:rFonts w:hint="default"/>
        <w:lang w:val="tr-TR" w:eastAsia="en-US" w:bidi="ar-SA"/>
      </w:rPr>
    </w:lvl>
    <w:lvl w:ilvl="2" w:tplc="C1044700">
      <w:numFmt w:val="bullet"/>
      <w:lvlText w:val="•"/>
      <w:lvlJc w:val="left"/>
      <w:pPr>
        <w:ind w:left="3928" w:hanging="280"/>
      </w:pPr>
      <w:rPr>
        <w:rFonts w:hint="default"/>
        <w:lang w:val="tr-TR" w:eastAsia="en-US" w:bidi="ar-SA"/>
      </w:rPr>
    </w:lvl>
    <w:lvl w:ilvl="3" w:tplc="4DD8AD4E">
      <w:numFmt w:val="bullet"/>
      <w:lvlText w:val="•"/>
      <w:lvlJc w:val="left"/>
      <w:pPr>
        <w:ind w:left="5842" w:hanging="280"/>
      </w:pPr>
      <w:rPr>
        <w:rFonts w:hint="default"/>
        <w:lang w:val="tr-TR" w:eastAsia="en-US" w:bidi="ar-SA"/>
      </w:rPr>
    </w:lvl>
    <w:lvl w:ilvl="4" w:tplc="08167294">
      <w:numFmt w:val="bullet"/>
      <w:lvlText w:val="•"/>
      <w:lvlJc w:val="left"/>
      <w:pPr>
        <w:ind w:left="7756" w:hanging="280"/>
      </w:pPr>
      <w:rPr>
        <w:rFonts w:hint="default"/>
        <w:lang w:val="tr-TR" w:eastAsia="en-US" w:bidi="ar-SA"/>
      </w:rPr>
    </w:lvl>
    <w:lvl w:ilvl="5" w:tplc="FF12213C">
      <w:numFmt w:val="bullet"/>
      <w:lvlText w:val="•"/>
      <w:lvlJc w:val="left"/>
      <w:pPr>
        <w:ind w:left="9670" w:hanging="280"/>
      </w:pPr>
      <w:rPr>
        <w:rFonts w:hint="default"/>
        <w:lang w:val="tr-TR" w:eastAsia="en-US" w:bidi="ar-SA"/>
      </w:rPr>
    </w:lvl>
    <w:lvl w:ilvl="6" w:tplc="782CC806">
      <w:numFmt w:val="bullet"/>
      <w:lvlText w:val="•"/>
      <w:lvlJc w:val="left"/>
      <w:pPr>
        <w:ind w:left="11584" w:hanging="280"/>
      </w:pPr>
      <w:rPr>
        <w:rFonts w:hint="default"/>
        <w:lang w:val="tr-TR" w:eastAsia="en-US" w:bidi="ar-SA"/>
      </w:rPr>
    </w:lvl>
    <w:lvl w:ilvl="7" w:tplc="43324910">
      <w:numFmt w:val="bullet"/>
      <w:lvlText w:val="•"/>
      <w:lvlJc w:val="left"/>
      <w:pPr>
        <w:ind w:left="13498" w:hanging="280"/>
      </w:pPr>
      <w:rPr>
        <w:rFonts w:hint="default"/>
        <w:lang w:val="tr-TR" w:eastAsia="en-US" w:bidi="ar-SA"/>
      </w:rPr>
    </w:lvl>
    <w:lvl w:ilvl="8" w:tplc="54FCB2D8">
      <w:numFmt w:val="bullet"/>
      <w:lvlText w:val="•"/>
      <w:lvlJc w:val="left"/>
      <w:pPr>
        <w:ind w:left="15412" w:hanging="280"/>
      </w:pPr>
      <w:rPr>
        <w:rFonts w:hint="default"/>
        <w:lang w:val="tr-TR" w:eastAsia="en-US" w:bidi="ar-SA"/>
      </w:rPr>
    </w:lvl>
  </w:abstractNum>
  <w:abstractNum w:abstractNumId="8" w15:restartNumberingAfterBreak="0">
    <w:nsid w:val="2A431820"/>
    <w:multiLevelType w:val="hybridMultilevel"/>
    <w:tmpl w:val="F54AADEC"/>
    <w:lvl w:ilvl="0" w:tplc="A82C1B42">
      <w:start w:val="1"/>
      <w:numFmt w:val="decimal"/>
      <w:lvlText w:val="%1."/>
      <w:lvlJc w:val="left"/>
      <w:pPr>
        <w:ind w:left="360" w:hanging="360"/>
      </w:pPr>
      <w:rPr>
        <w:rFonts w:hint="default"/>
        <w:b w:val="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B3D6BDD"/>
    <w:multiLevelType w:val="hybridMultilevel"/>
    <w:tmpl w:val="8FA0757C"/>
    <w:lvl w:ilvl="0" w:tplc="7226BBA4">
      <w:start w:val="1"/>
      <w:numFmt w:val="decimal"/>
      <w:lvlText w:val="%1-"/>
      <w:lvlJc w:val="left"/>
      <w:pPr>
        <w:ind w:left="422" w:hanging="280"/>
      </w:pPr>
      <w:rPr>
        <w:rFonts w:ascii="Arial" w:eastAsia="Arial" w:hAnsi="Arial" w:cs="Arial" w:hint="default"/>
        <w:b w:val="0"/>
        <w:bCs w:val="0"/>
        <w:i w:val="0"/>
        <w:iCs w:val="0"/>
        <w:spacing w:val="0"/>
        <w:w w:val="100"/>
        <w:sz w:val="20"/>
        <w:szCs w:val="20"/>
        <w:lang w:val="tr-TR" w:eastAsia="en-US" w:bidi="ar-SA"/>
      </w:rPr>
    </w:lvl>
    <w:lvl w:ilvl="1" w:tplc="3862722C">
      <w:numFmt w:val="bullet"/>
      <w:lvlText w:val="•"/>
      <w:lvlJc w:val="left"/>
      <w:pPr>
        <w:ind w:left="2309" w:hanging="280"/>
      </w:pPr>
      <w:rPr>
        <w:rFonts w:hint="default"/>
        <w:lang w:val="tr-TR" w:eastAsia="en-US" w:bidi="ar-SA"/>
      </w:rPr>
    </w:lvl>
    <w:lvl w:ilvl="2" w:tplc="97728146">
      <w:numFmt w:val="bullet"/>
      <w:lvlText w:val="•"/>
      <w:lvlJc w:val="left"/>
      <w:pPr>
        <w:ind w:left="4195" w:hanging="280"/>
      </w:pPr>
      <w:rPr>
        <w:rFonts w:hint="default"/>
        <w:lang w:val="tr-TR" w:eastAsia="en-US" w:bidi="ar-SA"/>
      </w:rPr>
    </w:lvl>
    <w:lvl w:ilvl="3" w:tplc="EC60E76E">
      <w:numFmt w:val="bullet"/>
      <w:lvlText w:val="•"/>
      <w:lvlJc w:val="left"/>
      <w:pPr>
        <w:ind w:left="6081" w:hanging="280"/>
      </w:pPr>
      <w:rPr>
        <w:rFonts w:hint="default"/>
        <w:lang w:val="tr-TR" w:eastAsia="en-US" w:bidi="ar-SA"/>
      </w:rPr>
    </w:lvl>
    <w:lvl w:ilvl="4" w:tplc="07E08856">
      <w:numFmt w:val="bullet"/>
      <w:lvlText w:val="•"/>
      <w:lvlJc w:val="left"/>
      <w:pPr>
        <w:ind w:left="7967" w:hanging="280"/>
      </w:pPr>
      <w:rPr>
        <w:rFonts w:hint="default"/>
        <w:lang w:val="tr-TR" w:eastAsia="en-US" w:bidi="ar-SA"/>
      </w:rPr>
    </w:lvl>
    <w:lvl w:ilvl="5" w:tplc="D53ACBAA">
      <w:numFmt w:val="bullet"/>
      <w:lvlText w:val="•"/>
      <w:lvlJc w:val="left"/>
      <w:pPr>
        <w:ind w:left="9853" w:hanging="280"/>
      </w:pPr>
      <w:rPr>
        <w:rFonts w:hint="default"/>
        <w:lang w:val="tr-TR" w:eastAsia="en-US" w:bidi="ar-SA"/>
      </w:rPr>
    </w:lvl>
    <w:lvl w:ilvl="6" w:tplc="D02473D8">
      <w:numFmt w:val="bullet"/>
      <w:lvlText w:val="•"/>
      <w:lvlJc w:val="left"/>
      <w:pPr>
        <w:ind w:left="11739" w:hanging="280"/>
      </w:pPr>
      <w:rPr>
        <w:rFonts w:hint="default"/>
        <w:lang w:val="tr-TR" w:eastAsia="en-US" w:bidi="ar-SA"/>
      </w:rPr>
    </w:lvl>
    <w:lvl w:ilvl="7" w:tplc="BC30234E">
      <w:numFmt w:val="bullet"/>
      <w:lvlText w:val="•"/>
      <w:lvlJc w:val="left"/>
      <w:pPr>
        <w:ind w:left="13625" w:hanging="280"/>
      </w:pPr>
      <w:rPr>
        <w:rFonts w:hint="default"/>
        <w:lang w:val="tr-TR" w:eastAsia="en-US" w:bidi="ar-SA"/>
      </w:rPr>
    </w:lvl>
    <w:lvl w:ilvl="8" w:tplc="DDD6F67E">
      <w:numFmt w:val="bullet"/>
      <w:lvlText w:val="•"/>
      <w:lvlJc w:val="left"/>
      <w:pPr>
        <w:ind w:left="15511" w:hanging="280"/>
      </w:pPr>
      <w:rPr>
        <w:rFonts w:hint="default"/>
        <w:lang w:val="tr-TR" w:eastAsia="en-US" w:bidi="ar-SA"/>
      </w:rPr>
    </w:lvl>
  </w:abstractNum>
  <w:abstractNum w:abstractNumId="10" w15:restartNumberingAfterBreak="0">
    <w:nsid w:val="31083C15"/>
    <w:multiLevelType w:val="hybridMultilevel"/>
    <w:tmpl w:val="C42A2D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A77713E"/>
    <w:multiLevelType w:val="hybridMultilevel"/>
    <w:tmpl w:val="125EF3A2"/>
    <w:lvl w:ilvl="0" w:tplc="0298012C">
      <w:start w:val="1"/>
      <w:numFmt w:val="lowerLetter"/>
      <w:lvlText w:val="%1)"/>
      <w:lvlJc w:val="left"/>
      <w:pPr>
        <w:ind w:left="1038" w:hanging="613"/>
      </w:pPr>
      <w:rPr>
        <w:rFonts w:ascii="Arial" w:eastAsia="Arial" w:hAnsi="Arial" w:cs="Arial" w:hint="default"/>
        <w:b w:val="0"/>
        <w:bCs w:val="0"/>
        <w:i w:val="0"/>
        <w:iCs w:val="0"/>
        <w:spacing w:val="0"/>
        <w:w w:val="100"/>
        <w:sz w:val="20"/>
        <w:szCs w:val="20"/>
        <w:lang w:val="tr-TR" w:eastAsia="en-US" w:bidi="ar-SA"/>
      </w:rPr>
    </w:lvl>
    <w:lvl w:ilvl="1" w:tplc="3104D190">
      <w:start w:val="1"/>
      <w:numFmt w:val="upperLetter"/>
      <w:lvlText w:val="%2."/>
      <w:lvlJc w:val="left"/>
      <w:pPr>
        <w:ind w:left="645" w:hanging="645"/>
      </w:pPr>
      <w:rPr>
        <w:rFonts w:ascii="Arial" w:eastAsia="Arial" w:hAnsi="Arial" w:cs="Arial" w:hint="default"/>
        <w:b w:val="0"/>
        <w:bCs w:val="0"/>
        <w:i w:val="0"/>
        <w:iCs w:val="0"/>
        <w:spacing w:val="0"/>
        <w:w w:val="100"/>
        <w:sz w:val="20"/>
        <w:szCs w:val="20"/>
        <w:lang w:val="tr-TR" w:eastAsia="en-US" w:bidi="ar-SA"/>
      </w:rPr>
    </w:lvl>
    <w:lvl w:ilvl="2" w:tplc="5FEEBBB2">
      <w:start w:val="1"/>
      <w:numFmt w:val="decimal"/>
      <w:lvlText w:val="%3."/>
      <w:lvlJc w:val="left"/>
      <w:pPr>
        <w:ind w:left="100" w:hanging="615"/>
      </w:pPr>
      <w:rPr>
        <w:rFonts w:ascii="Arial" w:eastAsia="Arial" w:hAnsi="Arial" w:cs="Arial" w:hint="default"/>
        <w:b w:val="0"/>
        <w:bCs w:val="0"/>
        <w:i w:val="0"/>
        <w:iCs w:val="0"/>
        <w:spacing w:val="0"/>
        <w:w w:val="100"/>
        <w:sz w:val="24"/>
        <w:szCs w:val="24"/>
        <w:lang w:val="tr-TR" w:eastAsia="en-US" w:bidi="ar-SA"/>
      </w:rPr>
    </w:lvl>
    <w:lvl w:ilvl="3" w:tplc="52AAC756">
      <w:start w:val="1"/>
      <w:numFmt w:val="lowerRoman"/>
      <w:lvlText w:val="%4."/>
      <w:lvlJc w:val="left"/>
      <w:pPr>
        <w:ind w:left="100" w:hanging="596"/>
      </w:pPr>
      <w:rPr>
        <w:rFonts w:ascii="Arial" w:eastAsia="Arial" w:hAnsi="Arial" w:cs="Arial" w:hint="default"/>
        <w:b w:val="0"/>
        <w:bCs w:val="0"/>
        <w:i w:val="0"/>
        <w:iCs w:val="0"/>
        <w:spacing w:val="0"/>
        <w:w w:val="100"/>
        <w:sz w:val="24"/>
        <w:szCs w:val="24"/>
        <w:lang w:val="tr-TR" w:eastAsia="en-US" w:bidi="ar-SA"/>
      </w:rPr>
    </w:lvl>
    <w:lvl w:ilvl="4" w:tplc="DB1C56D4">
      <w:numFmt w:val="bullet"/>
      <w:lvlText w:val="•"/>
      <w:lvlJc w:val="left"/>
      <w:pPr>
        <w:ind w:left="6893" w:hanging="596"/>
      </w:pPr>
      <w:rPr>
        <w:rFonts w:hint="default"/>
        <w:lang w:val="tr-TR" w:eastAsia="en-US" w:bidi="ar-SA"/>
      </w:rPr>
    </w:lvl>
    <w:lvl w:ilvl="5" w:tplc="600C22CC">
      <w:numFmt w:val="bullet"/>
      <w:lvlText w:val="•"/>
      <w:lvlJc w:val="left"/>
      <w:pPr>
        <w:ind w:left="8951" w:hanging="596"/>
      </w:pPr>
      <w:rPr>
        <w:rFonts w:hint="default"/>
        <w:lang w:val="tr-TR" w:eastAsia="en-US" w:bidi="ar-SA"/>
      </w:rPr>
    </w:lvl>
    <w:lvl w:ilvl="6" w:tplc="5E1E06A2">
      <w:numFmt w:val="bullet"/>
      <w:lvlText w:val="•"/>
      <w:lvlJc w:val="left"/>
      <w:pPr>
        <w:ind w:left="11008" w:hanging="596"/>
      </w:pPr>
      <w:rPr>
        <w:rFonts w:hint="default"/>
        <w:lang w:val="tr-TR" w:eastAsia="en-US" w:bidi="ar-SA"/>
      </w:rPr>
    </w:lvl>
    <w:lvl w:ilvl="7" w:tplc="E09677F6">
      <w:numFmt w:val="bullet"/>
      <w:lvlText w:val="•"/>
      <w:lvlJc w:val="left"/>
      <w:pPr>
        <w:ind w:left="13066" w:hanging="596"/>
      </w:pPr>
      <w:rPr>
        <w:rFonts w:hint="default"/>
        <w:lang w:val="tr-TR" w:eastAsia="en-US" w:bidi="ar-SA"/>
      </w:rPr>
    </w:lvl>
    <w:lvl w:ilvl="8" w:tplc="A14A427E">
      <w:numFmt w:val="bullet"/>
      <w:lvlText w:val="•"/>
      <w:lvlJc w:val="left"/>
      <w:pPr>
        <w:ind w:left="15124" w:hanging="596"/>
      </w:pPr>
      <w:rPr>
        <w:rFonts w:hint="default"/>
        <w:lang w:val="tr-TR" w:eastAsia="en-US" w:bidi="ar-SA"/>
      </w:rPr>
    </w:lvl>
  </w:abstractNum>
  <w:abstractNum w:abstractNumId="12" w15:restartNumberingAfterBreak="0">
    <w:nsid w:val="5AE07E8A"/>
    <w:multiLevelType w:val="hybridMultilevel"/>
    <w:tmpl w:val="8A3ED9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EDB3BDE"/>
    <w:multiLevelType w:val="hybridMultilevel"/>
    <w:tmpl w:val="CFF0A470"/>
    <w:lvl w:ilvl="0" w:tplc="E8685D1E">
      <w:start w:val="1"/>
      <w:numFmt w:val="upperLetter"/>
      <w:lvlText w:val="%1."/>
      <w:lvlJc w:val="left"/>
      <w:pPr>
        <w:ind w:left="327" w:hanging="228"/>
      </w:pPr>
      <w:rPr>
        <w:rFonts w:ascii="Arial" w:eastAsia="Arial" w:hAnsi="Arial" w:cs="Arial" w:hint="default"/>
        <w:b w:val="0"/>
        <w:bCs w:val="0"/>
        <w:i w:val="0"/>
        <w:iCs w:val="0"/>
        <w:spacing w:val="-1"/>
        <w:w w:val="99"/>
        <w:sz w:val="22"/>
        <w:szCs w:val="22"/>
        <w:lang w:val="tr-TR" w:eastAsia="en-US" w:bidi="ar-SA"/>
      </w:rPr>
    </w:lvl>
    <w:lvl w:ilvl="1" w:tplc="CD387178">
      <w:numFmt w:val="bullet"/>
      <w:lvlText w:val="•"/>
      <w:lvlJc w:val="left"/>
      <w:pPr>
        <w:ind w:left="2212" w:hanging="228"/>
      </w:pPr>
      <w:rPr>
        <w:rFonts w:hint="default"/>
        <w:lang w:val="tr-TR" w:eastAsia="en-US" w:bidi="ar-SA"/>
      </w:rPr>
    </w:lvl>
    <w:lvl w:ilvl="2" w:tplc="8422A7E0">
      <w:numFmt w:val="bullet"/>
      <w:lvlText w:val="•"/>
      <w:lvlJc w:val="left"/>
      <w:pPr>
        <w:ind w:left="4104" w:hanging="228"/>
      </w:pPr>
      <w:rPr>
        <w:rFonts w:hint="default"/>
        <w:lang w:val="tr-TR" w:eastAsia="en-US" w:bidi="ar-SA"/>
      </w:rPr>
    </w:lvl>
    <w:lvl w:ilvl="3" w:tplc="E08C0ED0">
      <w:numFmt w:val="bullet"/>
      <w:lvlText w:val="•"/>
      <w:lvlJc w:val="left"/>
      <w:pPr>
        <w:ind w:left="5996" w:hanging="228"/>
      </w:pPr>
      <w:rPr>
        <w:rFonts w:hint="default"/>
        <w:lang w:val="tr-TR" w:eastAsia="en-US" w:bidi="ar-SA"/>
      </w:rPr>
    </w:lvl>
    <w:lvl w:ilvl="4" w:tplc="AFF27978">
      <w:numFmt w:val="bullet"/>
      <w:lvlText w:val="•"/>
      <w:lvlJc w:val="left"/>
      <w:pPr>
        <w:ind w:left="7888" w:hanging="228"/>
      </w:pPr>
      <w:rPr>
        <w:rFonts w:hint="default"/>
        <w:lang w:val="tr-TR" w:eastAsia="en-US" w:bidi="ar-SA"/>
      </w:rPr>
    </w:lvl>
    <w:lvl w:ilvl="5" w:tplc="7B4C9A9E">
      <w:numFmt w:val="bullet"/>
      <w:lvlText w:val="•"/>
      <w:lvlJc w:val="left"/>
      <w:pPr>
        <w:ind w:left="9780" w:hanging="228"/>
      </w:pPr>
      <w:rPr>
        <w:rFonts w:hint="default"/>
        <w:lang w:val="tr-TR" w:eastAsia="en-US" w:bidi="ar-SA"/>
      </w:rPr>
    </w:lvl>
    <w:lvl w:ilvl="6" w:tplc="0C822D34">
      <w:numFmt w:val="bullet"/>
      <w:lvlText w:val="•"/>
      <w:lvlJc w:val="left"/>
      <w:pPr>
        <w:ind w:left="11672" w:hanging="228"/>
      </w:pPr>
      <w:rPr>
        <w:rFonts w:hint="default"/>
        <w:lang w:val="tr-TR" w:eastAsia="en-US" w:bidi="ar-SA"/>
      </w:rPr>
    </w:lvl>
    <w:lvl w:ilvl="7" w:tplc="8CD44CBE">
      <w:numFmt w:val="bullet"/>
      <w:lvlText w:val="•"/>
      <w:lvlJc w:val="left"/>
      <w:pPr>
        <w:ind w:left="13564" w:hanging="228"/>
      </w:pPr>
      <w:rPr>
        <w:rFonts w:hint="default"/>
        <w:lang w:val="tr-TR" w:eastAsia="en-US" w:bidi="ar-SA"/>
      </w:rPr>
    </w:lvl>
    <w:lvl w:ilvl="8" w:tplc="A484D670">
      <w:numFmt w:val="bullet"/>
      <w:lvlText w:val="•"/>
      <w:lvlJc w:val="left"/>
      <w:pPr>
        <w:ind w:left="15456" w:hanging="228"/>
      </w:pPr>
      <w:rPr>
        <w:rFonts w:hint="default"/>
        <w:lang w:val="tr-TR" w:eastAsia="en-US" w:bidi="ar-SA"/>
      </w:rPr>
    </w:lvl>
  </w:abstractNum>
  <w:abstractNum w:abstractNumId="14" w15:restartNumberingAfterBreak="0">
    <w:nsid w:val="77030AAA"/>
    <w:multiLevelType w:val="hybridMultilevel"/>
    <w:tmpl w:val="B4DCFFD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13"/>
  </w:num>
  <w:num w:numId="5">
    <w:abstractNumId w:val="2"/>
  </w:num>
  <w:num w:numId="6">
    <w:abstractNumId w:val="7"/>
  </w:num>
  <w:num w:numId="7">
    <w:abstractNumId w:val="3"/>
  </w:num>
  <w:num w:numId="8">
    <w:abstractNumId w:val="0"/>
  </w:num>
  <w:num w:numId="9">
    <w:abstractNumId w:val="11"/>
  </w:num>
  <w:num w:numId="10">
    <w:abstractNumId w:val="12"/>
  </w:num>
  <w:num w:numId="11">
    <w:abstractNumId w:val="10"/>
  </w:num>
  <w:num w:numId="12">
    <w:abstractNumId w:val="14"/>
  </w:num>
  <w:num w:numId="13">
    <w:abstractNumId w:val="5"/>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7A"/>
    <w:rsid w:val="000163B1"/>
    <w:rsid w:val="0009162D"/>
    <w:rsid w:val="000F33C2"/>
    <w:rsid w:val="00123005"/>
    <w:rsid w:val="001D5F84"/>
    <w:rsid w:val="00297476"/>
    <w:rsid w:val="002B074E"/>
    <w:rsid w:val="002D4E6B"/>
    <w:rsid w:val="002D637A"/>
    <w:rsid w:val="00305810"/>
    <w:rsid w:val="003B0955"/>
    <w:rsid w:val="003E6A7A"/>
    <w:rsid w:val="003F0741"/>
    <w:rsid w:val="00426B07"/>
    <w:rsid w:val="00507DEF"/>
    <w:rsid w:val="005D7A17"/>
    <w:rsid w:val="00611C7D"/>
    <w:rsid w:val="00682E5E"/>
    <w:rsid w:val="006E7715"/>
    <w:rsid w:val="006F1D50"/>
    <w:rsid w:val="00753DF5"/>
    <w:rsid w:val="007F5F3B"/>
    <w:rsid w:val="00885454"/>
    <w:rsid w:val="008E0CAC"/>
    <w:rsid w:val="00A25162"/>
    <w:rsid w:val="00A84343"/>
    <w:rsid w:val="00AE7EE8"/>
    <w:rsid w:val="00B72BCD"/>
    <w:rsid w:val="00BC0608"/>
    <w:rsid w:val="00C12B69"/>
    <w:rsid w:val="00CC0056"/>
    <w:rsid w:val="00CD5E14"/>
    <w:rsid w:val="00DC10C0"/>
    <w:rsid w:val="00E466C4"/>
    <w:rsid w:val="00E57105"/>
    <w:rsid w:val="00E64010"/>
    <w:rsid w:val="00EC375F"/>
    <w:rsid w:val="00ED235C"/>
    <w:rsid w:val="00ED5BD7"/>
    <w:rsid w:val="00F109B6"/>
    <w:rsid w:val="00F527D5"/>
    <w:rsid w:val="00FF3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41C0"/>
  <w15:chartTrackingRefBased/>
  <w15:docId w15:val="{E4F6ACA6-A105-4547-8ABF-74FA52D1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6F1D50"/>
    <w:pPr>
      <w:widowControl w:val="0"/>
      <w:autoSpaceDE w:val="0"/>
      <w:autoSpaceDN w:val="0"/>
      <w:spacing w:after="0" w:line="240" w:lineRule="auto"/>
      <w:ind w:left="100"/>
      <w:outlineLvl w:val="0"/>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07DEF"/>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1"/>
    <w:qFormat/>
    <w:rsid w:val="00507DEF"/>
    <w:pPr>
      <w:ind w:left="720"/>
      <w:contextualSpacing/>
    </w:pPr>
  </w:style>
  <w:style w:type="table" w:styleId="TabloKlavuzu">
    <w:name w:val="Table Grid"/>
    <w:basedOn w:val="NormalTablo"/>
    <w:uiPriority w:val="39"/>
    <w:rsid w:val="00507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3B0955"/>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3B0955"/>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3B0955"/>
    <w:rPr>
      <w:rFonts w:eastAsiaTheme="minorEastAsia" w:cs="Times New Roman"/>
      <w:sz w:val="20"/>
      <w:szCs w:val="20"/>
      <w:lang w:eastAsia="tr-TR"/>
    </w:rPr>
  </w:style>
  <w:style w:type="character" w:styleId="HafifVurgulama">
    <w:name w:val="Subtle Emphasis"/>
    <w:basedOn w:val="VarsaylanParagrafYazTipi"/>
    <w:uiPriority w:val="19"/>
    <w:qFormat/>
    <w:rsid w:val="003B0955"/>
    <w:rPr>
      <w:i/>
      <w:iCs/>
    </w:rPr>
  </w:style>
  <w:style w:type="table" w:styleId="AkGlgeleme-Vurgu1">
    <w:name w:val="Light Shading Accent 1"/>
    <w:basedOn w:val="NormalTablo"/>
    <w:uiPriority w:val="60"/>
    <w:rsid w:val="003B0955"/>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GvdeMetni">
    <w:name w:val="Body Text"/>
    <w:basedOn w:val="Normal"/>
    <w:link w:val="GvdeMetniChar"/>
    <w:uiPriority w:val="1"/>
    <w:qFormat/>
    <w:rsid w:val="003B0955"/>
    <w:pPr>
      <w:widowControl w:val="0"/>
      <w:autoSpaceDE w:val="0"/>
      <w:autoSpaceDN w:val="0"/>
      <w:spacing w:after="0" w:line="240" w:lineRule="auto"/>
    </w:pPr>
    <w:rPr>
      <w:rFonts w:ascii="Arial" w:eastAsia="Arial" w:hAnsi="Arial" w:cs="Arial"/>
      <w:sz w:val="24"/>
      <w:szCs w:val="24"/>
    </w:rPr>
  </w:style>
  <w:style w:type="character" w:customStyle="1" w:styleId="GvdeMetniChar">
    <w:name w:val="Gövde Metni Char"/>
    <w:basedOn w:val="VarsaylanParagrafYazTipi"/>
    <w:link w:val="GvdeMetni"/>
    <w:uiPriority w:val="1"/>
    <w:rsid w:val="003B0955"/>
    <w:rPr>
      <w:rFonts w:ascii="Arial" w:eastAsia="Arial" w:hAnsi="Arial" w:cs="Arial"/>
      <w:sz w:val="24"/>
      <w:szCs w:val="24"/>
    </w:rPr>
  </w:style>
  <w:style w:type="character" w:customStyle="1" w:styleId="Balk1Char">
    <w:name w:val="Başlık 1 Char"/>
    <w:basedOn w:val="VarsaylanParagrafYazTipi"/>
    <w:link w:val="Balk1"/>
    <w:uiPriority w:val="1"/>
    <w:rsid w:val="006F1D50"/>
    <w:rPr>
      <w:rFonts w:ascii="Arial" w:eastAsia="Arial" w:hAnsi="Arial" w:cs="Arial"/>
      <w:b/>
      <w:bCs/>
      <w:sz w:val="24"/>
      <w:szCs w:val="24"/>
    </w:rPr>
  </w:style>
  <w:style w:type="paragraph" w:styleId="BalonMetni">
    <w:name w:val="Balloon Text"/>
    <w:basedOn w:val="Normal"/>
    <w:link w:val="BalonMetniChar"/>
    <w:uiPriority w:val="99"/>
    <w:semiHidden/>
    <w:unhideWhenUsed/>
    <w:rsid w:val="00CD5E1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5E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1B493-783C-46B2-ADFC-06DEA6F6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5647</Words>
  <Characters>32192</Characters>
  <Application>Microsoft Office Word</Application>
  <DocSecurity>0</DocSecurity>
  <Lines>268</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 Erfidan</dc:creator>
  <cp:keywords/>
  <dc:description/>
  <cp:lastModifiedBy>Evren Erfidan</cp:lastModifiedBy>
  <cp:revision>12</cp:revision>
  <cp:lastPrinted>2025-10-14T10:56:00Z</cp:lastPrinted>
  <dcterms:created xsi:type="dcterms:W3CDTF">2025-10-14T10:29:00Z</dcterms:created>
  <dcterms:modified xsi:type="dcterms:W3CDTF">2025-10-14T11:24:00Z</dcterms:modified>
</cp:coreProperties>
</file>